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3BE" w:rsidRDefault="009F73BE" w:rsidP="00FF0251">
      <w:pPr>
        <w:spacing w:after="0" w:line="240" w:lineRule="auto"/>
        <w:jc w:val="center"/>
        <w:rPr>
          <w:rFonts w:ascii="Times New Roman" w:eastAsia="Times New Roman" w:hAnsi="Times New Roman" w:cs="Times New Roman"/>
          <w:b/>
          <w:sz w:val="24"/>
          <w:szCs w:val="24"/>
        </w:rPr>
      </w:pPr>
    </w:p>
    <w:p w:rsidR="009F73BE" w:rsidRDefault="009F73BE" w:rsidP="009F73BE">
      <w:pPr>
        <w:spacing w:after="0" w:line="360" w:lineRule="auto"/>
        <w:jc w:val="both"/>
        <w:rPr>
          <w:rFonts w:ascii="Times New Roman" w:eastAsia="Calibri" w:hAnsi="Times New Roman" w:cs="Times New Roman"/>
          <w:b/>
          <w:bCs/>
          <w:sz w:val="28"/>
          <w:szCs w:val="28"/>
        </w:rPr>
      </w:pPr>
      <w:r>
        <w:rPr>
          <w:rFonts w:ascii="Times New Roman" w:eastAsia="Times New Roman" w:hAnsi="Times New Roman" w:cs="Times New Roman"/>
          <w:b/>
          <w:sz w:val="24"/>
          <w:szCs w:val="24"/>
        </w:rPr>
        <w:t xml:space="preserve">                                         </w:t>
      </w:r>
      <w:r>
        <w:rPr>
          <w:rFonts w:ascii="Times New Roman" w:hAnsi="Times New Roman" w:cs="Times New Roman"/>
          <w:b/>
          <w:bCs/>
          <w:sz w:val="28"/>
          <w:szCs w:val="28"/>
        </w:rPr>
        <w:t>TABLE OF CONTENTS</w:t>
      </w:r>
    </w:p>
    <w:tbl>
      <w:tblPr>
        <w:tblStyle w:val="TableGrid"/>
        <w:tblW w:w="9090" w:type="dxa"/>
        <w:jc w:val="center"/>
        <w:tblLook w:val="04A0" w:firstRow="1" w:lastRow="0" w:firstColumn="1" w:lastColumn="0" w:noHBand="0" w:noVBand="1"/>
      </w:tblPr>
      <w:tblGrid>
        <w:gridCol w:w="1843"/>
        <w:gridCol w:w="5537"/>
        <w:gridCol w:w="1710"/>
      </w:tblGrid>
      <w:tr w:rsidR="009F73BE" w:rsidTr="009F73BE">
        <w:trPr>
          <w:trHeight w:val="933"/>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CHAPTER NO</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TITLE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PAGE NO.</w:t>
            </w:r>
          </w:p>
        </w:tc>
      </w:tr>
      <w:tr w:rsidR="009F73BE" w:rsidTr="009F73BE">
        <w:trPr>
          <w:trHeight w:val="988"/>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INTRODUCTION</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1-9</w:t>
            </w:r>
          </w:p>
        </w:tc>
      </w:tr>
      <w:tr w:rsidR="009F73BE" w:rsidTr="009F73BE">
        <w:trPr>
          <w:trHeight w:val="987"/>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REVIEW OF RELATED LITERATURE</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10-14</w:t>
            </w:r>
          </w:p>
        </w:tc>
      </w:tr>
      <w:tr w:rsidR="009F73BE" w:rsidTr="009F73BE">
        <w:trPr>
          <w:trHeight w:val="1115"/>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PROFILE OF THE INDUSTRY</w:t>
            </w:r>
          </w:p>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PROFILE OF THE ORGANIZATION</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15-38</w:t>
            </w:r>
          </w:p>
        </w:tc>
      </w:tr>
      <w:tr w:rsidR="009F73BE" w:rsidTr="009F73BE">
        <w:trPr>
          <w:trHeight w:val="992"/>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DATA ANALYSIS &amp;</w:t>
            </w:r>
          </w:p>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INTERPRETATION</w:t>
            </w:r>
          </w:p>
        </w:tc>
        <w:tc>
          <w:tcPr>
            <w:tcW w:w="1710"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39-</w:t>
            </w:r>
          </w:p>
        </w:tc>
      </w:tr>
      <w:tr w:rsidR="009F73BE" w:rsidTr="009F73BE">
        <w:trPr>
          <w:trHeight w:val="1411"/>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FINDINGS, RECOMMENDATIONS AND CONCLUSIONS</w:t>
            </w:r>
          </w:p>
        </w:tc>
        <w:tc>
          <w:tcPr>
            <w:tcW w:w="1710" w:type="dxa"/>
            <w:tcBorders>
              <w:top w:val="single" w:sz="4" w:space="0" w:color="auto"/>
              <w:left w:val="single" w:sz="4" w:space="0" w:color="auto"/>
              <w:bottom w:val="single" w:sz="4" w:space="0" w:color="auto"/>
              <w:right w:val="single" w:sz="4" w:space="0" w:color="auto"/>
            </w:tcBorders>
            <w:vAlign w:val="center"/>
          </w:tcPr>
          <w:p w:rsidR="009F73BE" w:rsidRDefault="009F73BE">
            <w:pPr>
              <w:spacing w:after="0" w:line="360" w:lineRule="auto"/>
              <w:jc w:val="center"/>
              <w:rPr>
                <w:rFonts w:ascii="Times New Roman" w:hAnsi="Times New Roman" w:cs="Times New Roman"/>
                <w:b/>
                <w:bCs/>
                <w:sz w:val="24"/>
                <w:szCs w:val="24"/>
              </w:rPr>
            </w:pPr>
          </w:p>
        </w:tc>
      </w:tr>
      <w:tr w:rsidR="009F73BE" w:rsidTr="009F73BE">
        <w:trPr>
          <w:trHeight w:val="1125"/>
          <w:jc w:val="center"/>
        </w:trPr>
        <w:tc>
          <w:tcPr>
            <w:tcW w:w="1843" w:type="dxa"/>
            <w:tcBorders>
              <w:top w:val="single" w:sz="4" w:space="0" w:color="auto"/>
              <w:left w:val="single" w:sz="4" w:space="0" w:color="auto"/>
              <w:bottom w:val="single" w:sz="4" w:space="0" w:color="auto"/>
              <w:right w:val="single" w:sz="4" w:space="0" w:color="auto"/>
            </w:tcBorders>
            <w:vAlign w:val="center"/>
          </w:tcPr>
          <w:p w:rsidR="009F73BE" w:rsidRDefault="009F73BE">
            <w:pPr>
              <w:spacing w:after="0" w:line="360" w:lineRule="auto"/>
              <w:jc w:val="center"/>
              <w:rPr>
                <w:rFonts w:ascii="Times New Roman" w:hAnsi="Times New Roman" w:cs="Times New Roman"/>
                <w:b/>
                <w:bCs/>
                <w:sz w:val="24"/>
                <w:szCs w:val="24"/>
              </w:rPr>
            </w:pP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BIBLIOGRAPHY</w:t>
            </w:r>
          </w:p>
        </w:tc>
        <w:tc>
          <w:tcPr>
            <w:tcW w:w="1710" w:type="dxa"/>
            <w:tcBorders>
              <w:top w:val="single" w:sz="4" w:space="0" w:color="auto"/>
              <w:left w:val="single" w:sz="4" w:space="0" w:color="auto"/>
              <w:bottom w:val="single" w:sz="4" w:space="0" w:color="auto"/>
              <w:right w:val="single" w:sz="4" w:space="0" w:color="auto"/>
            </w:tcBorders>
            <w:vAlign w:val="center"/>
          </w:tcPr>
          <w:p w:rsidR="009F73BE" w:rsidRDefault="009F73BE">
            <w:pPr>
              <w:spacing w:after="0" w:line="360" w:lineRule="auto"/>
              <w:jc w:val="center"/>
              <w:rPr>
                <w:rFonts w:ascii="Times New Roman" w:hAnsi="Times New Roman" w:cs="Times New Roman"/>
                <w:b/>
                <w:bCs/>
                <w:sz w:val="24"/>
                <w:szCs w:val="24"/>
              </w:rPr>
            </w:pPr>
          </w:p>
        </w:tc>
      </w:tr>
      <w:tr w:rsidR="009F73BE" w:rsidTr="009F73BE">
        <w:trPr>
          <w:trHeight w:val="1283"/>
          <w:jc w:val="center"/>
        </w:trPr>
        <w:tc>
          <w:tcPr>
            <w:tcW w:w="1843" w:type="dxa"/>
            <w:tcBorders>
              <w:top w:val="single" w:sz="4" w:space="0" w:color="auto"/>
              <w:left w:val="single" w:sz="4" w:space="0" w:color="auto"/>
              <w:bottom w:val="single" w:sz="4" w:space="0" w:color="auto"/>
              <w:right w:val="single" w:sz="4" w:space="0" w:color="auto"/>
            </w:tcBorders>
            <w:vAlign w:val="center"/>
          </w:tcPr>
          <w:p w:rsidR="009F73BE" w:rsidRDefault="009F73BE">
            <w:pPr>
              <w:spacing w:after="0" w:line="360" w:lineRule="auto"/>
              <w:jc w:val="center"/>
              <w:rPr>
                <w:rFonts w:ascii="Times New Roman" w:hAnsi="Times New Roman" w:cs="Times New Roman"/>
                <w:b/>
                <w:bCs/>
                <w:sz w:val="24"/>
                <w:szCs w:val="24"/>
              </w:rPr>
            </w:pPr>
          </w:p>
        </w:tc>
        <w:tc>
          <w:tcPr>
            <w:tcW w:w="5537"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ANNEXURES</w:t>
            </w:r>
          </w:p>
        </w:tc>
        <w:tc>
          <w:tcPr>
            <w:tcW w:w="1710" w:type="dxa"/>
            <w:tcBorders>
              <w:top w:val="single" w:sz="4" w:space="0" w:color="auto"/>
              <w:left w:val="single" w:sz="4" w:space="0" w:color="auto"/>
              <w:bottom w:val="single" w:sz="4" w:space="0" w:color="auto"/>
              <w:right w:val="single" w:sz="4" w:space="0" w:color="auto"/>
            </w:tcBorders>
            <w:vAlign w:val="center"/>
          </w:tcPr>
          <w:p w:rsidR="009F73BE" w:rsidRDefault="009F73BE">
            <w:pPr>
              <w:spacing w:after="0" w:line="360" w:lineRule="auto"/>
              <w:jc w:val="center"/>
              <w:rPr>
                <w:rFonts w:ascii="Times New Roman" w:hAnsi="Times New Roman" w:cs="Times New Roman"/>
                <w:b/>
                <w:bCs/>
                <w:sz w:val="24"/>
                <w:szCs w:val="24"/>
              </w:rPr>
            </w:pPr>
          </w:p>
        </w:tc>
      </w:tr>
    </w:tbl>
    <w:p w:rsidR="009F73BE" w:rsidRDefault="009F73BE" w:rsidP="009F73BE">
      <w:pPr>
        <w:spacing w:after="0" w:line="360" w:lineRule="auto"/>
        <w:jc w:val="both"/>
        <w:rPr>
          <w:rFonts w:ascii="Times New Roman" w:eastAsia="Calibri" w:hAnsi="Times New Roman" w:cs="Times New Roman"/>
          <w:b/>
          <w:bCs/>
          <w:sz w:val="28"/>
          <w:szCs w:val="28"/>
        </w:rPr>
      </w:pPr>
    </w:p>
    <w:p w:rsidR="009F73BE" w:rsidRDefault="009F73BE" w:rsidP="009F73BE">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9F73BE" w:rsidRDefault="009F73BE" w:rsidP="009F73B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LIST OF TABLES</w:t>
      </w:r>
    </w:p>
    <w:tbl>
      <w:tblPr>
        <w:tblStyle w:val="TableGrid"/>
        <w:tblW w:w="8305" w:type="dxa"/>
        <w:tblLook w:val="04A0" w:firstRow="1" w:lastRow="0" w:firstColumn="1" w:lastColumn="0" w:noHBand="0" w:noVBand="1"/>
      </w:tblPr>
      <w:tblGrid>
        <w:gridCol w:w="1725"/>
        <w:gridCol w:w="5074"/>
        <w:gridCol w:w="1506"/>
      </w:tblGrid>
      <w:tr w:rsidR="009F73BE" w:rsidTr="009F73BE">
        <w:trPr>
          <w:trHeight w:val="528"/>
        </w:trPr>
        <w:tc>
          <w:tcPr>
            <w:tcW w:w="1725"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heme="minorEastAsia" w:hAnsi="Times New Roman" w:cs="Times New Roman"/>
                <w:b/>
                <w:bCs/>
                <w:sz w:val="24"/>
                <w:szCs w:val="28"/>
                <w:lang w:val="en-IN"/>
              </w:rPr>
            </w:pPr>
            <w:r>
              <w:rPr>
                <w:rFonts w:ascii="Times New Roman" w:hAnsi="Times New Roman" w:cs="Times New Roman"/>
                <w:b/>
                <w:bCs/>
                <w:sz w:val="24"/>
                <w:szCs w:val="28"/>
              </w:rPr>
              <w:t>TABLE NO.</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rPr>
                <w:rFonts w:ascii="Times New Roman" w:eastAsia="Calibri" w:hAnsi="Times New Roman" w:cs="Times New Roman"/>
                <w:b/>
                <w:bCs/>
                <w:sz w:val="24"/>
                <w:szCs w:val="28"/>
              </w:rPr>
            </w:pPr>
            <w:r>
              <w:rPr>
                <w:rFonts w:ascii="Times New Roman" w:hAnsi="Times New Roman" w:cs="Times New Roman"/>
                <w:b/>
                <w:bCs/>
                <w:sz w:val="24"/>
                <w:szCs w:val="28"/>
              </w:rPr>
              <w:t xml:space="preserve">                          TITLE</w:t>
            </w:r>
          </w:p>
        </w:tc>
        <w:tc>
          <w:tcPr>
            <w:tcW w:w="1506"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
                <w:bCs/>
                <w:sz w:val="24"/>
                <w:szCs w:val="28"/>
              </w:rPr>
            </w:pPr>
            <w:r>
              <w:rPr>
                <w:rFonts w:ascii="Times New Roman" w:hAnsi="Times New Roman" w:cs="Times New Roman"/>
                <w:b/>
                <w:bCs/>
                <w:sz w:val="24"/>
                <w:szCs w:val="28"/>
              </w:rPr>
              <w:t>PAGE NO.</w:t>
            </w:r>
          </w:p>
        </w:tc>
      </w:tr>
      <w:tr w:rsidR="009F73BE" w:rsidTr="009F73BE">
        <w:trPr>
          <w:trHeight w:val="367"/>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Age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r>
      <w:tr w:rsidR="009F73BE" w:rsidTr="009F73BE">
        <w:trPr>
          <w:trHeight w:val="37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Gender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9F73BE" w:rsidTr="009F73BE">
        <w:trPr>
          <w:trHeight w:val="37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Educational Qualification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r>
      <w:tr w:rsidR="009F73BE" w:rsidTr="009F73BE">
        <w:trPr>
          <w:trHeight w:val="370"/>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Occupation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9F73BE" w:rsidTr="009F73BE">
        <w:trPr>
          <w:trHeight w:val="426"/>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Monthly Income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9F73BE" w:rsidTr="009F73BE">
        <w:trPr>
          <w:trHeight w:val="374"/>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Marital Status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9F73BE" w:rsidTr="009F73BE">
        <w:trPr>
          <w:trHeight w:val="430"/>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Annual Savings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Period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9F73BE" w:rsidTr="009F73BE">
        <w:trPr>
          <w:trHeight w:val="44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Mode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Monthly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Investment Period</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Review of Mutual Fund Investments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9F73BE" w:rsidTr="009F73BE">
        <w:trPr>
          <w:trHeight w:val="44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Regular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Diversification of Investments Across Schemes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i/>
                <w:iCs/>
                <w:sz w:val="24"/>
                <w:szCs w:val="24"/>
              </w:rPr>
            </w:pPr>
            <w:r>
              <w:rPr>
                <w:rFonts w:ascii="Times New Roman" w:hAnsi="Times New Roman" w:cs="Times New Roman"/>
                <w:sz w:val="24"/>
                <w:szCs w:val="24"/>
                <w:lang w:eastAsia="en-IN"/>
              </w:rPr>
              <w:t>Preferred Type of Mutual Fund</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ind w:firstLine="720"/>
              <w:jc w:val="center"/>
              <w:rPr>
                <w:rFonts w:ascii="Times New Roman" w:hAnsi="Times New Roman" w:cs="Times New Roman"/>
                <w:sz w:val="24"/>
                <w:szCs w:val="24"/>
              </w:rPr>
            </w:pPr>
            <w:r>
              <w:rPr>
                <w:rFonts w:ascii="Times New Roman" w:hAnsi="Times New Roman" w:cs="Times New Roman"/>
                <w:sz w:val="24"/>
                <w:szCs w:val="24"/>
                <w:lang w:eastAsia="en-IN"/>
              </w:rPr>
              <w:t>Preferred Level of Risk</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Purpose of Investing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Channel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Influence on Investment Decision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Return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Withdrawal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Factors Influencing Investment Decision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Influence of Advisor Suggestions on Investment Decisions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263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Safety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4.25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Tax Benefit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Liquidity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Past Returns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Diversification Benefit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Professional Fund Management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Regular Savings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Importance of Transparency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Importance of Charges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Importance of Convenience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Safest Investment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Factors Preventing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Mutual Funds Provide Better Returns Than Traditional Investments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SIP is a Convenient Method of Investing</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Risk Level Affects Investment Decisions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Mutual Funds are Less Risky Than Direct Equity Investment</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Mutual Funds Provide Access to a Wide Range of Investment Options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sz w:val="24"/>
                <w:szCs w:val="24"/>
                <w:lang w:val="en-IN" w:eastAsia="en-IN" w:bidi="ml-IN"/>
              </w:rPr>
            </w:pPr>
            <w:r>
              <w:rPr>
                <w:rFonts w:ascii="Times New Roman" w:hAnsi="Times New Roman" w:cs="Times New Roman"/>
                <w:sz w:val="24"/>
                <w:szCs w:val="24"/>
                <w:lang w:eastAsia="en-IN"/>
              </w:rPr>
              <w:t>Professional Fund Management Increases Confidence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Style w:val="Strong"/>
                <w:rFonts w:ascii="Calibri" w:hAnsi="Calibri" w:cs="font47"/>
              </w:rPr>
            </w:pPr>
            <w:r>
              <w:rPr>
                <w:rFonts w:ascii="Times New Roman" w:hAnsi="Times New Roman" w:cs="Times New Roman"/>
                <w:sz w:val="24"/>
                <w:szCs w:val="24"/>
                <w:lang w:eastAsia="en-IN"/>
              </w:rPr>
              <w:t>Intention to Continue Investing in Mutual Funds in Future</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rPr>
            </w:pPr>
            <w:r>
              <w:rPr>
                <w:rFonts w:ascii="Times New Roman" w:hAnsi="Times New Roman" w:cs="Times New Roman"/>
                <w:sz w:val="24"/>
                <w:szCs w:val="24"/>
              </w:rPr>
              <w:t>82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Style w:val="Strong"/>
                <w:rFonts w:ascii="Calibri" w:hAnsi="Calibri" w:cs="font47"/>
              </w:rPr>
            </w:pPr>
            <w:r>
              <w:rPr>
                <w:rFonts w:ascii="Times New Roman" w:hAnsi="Times New Roman" w:cs="Times New Roman"/>
                <w:sz w:val="24"/>
                <w:szCs w:val="24"/>
                <w:lang w:eastAsia="en-IN"/>
              </w:rPr>
              <w:t>Encouraging Others to Invest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rPr>
            </w:pPr>
            <w:r>
              <w:rPr>
                <w:rFonts w:ascii="Times New Roman" w:hAnsi="Times New Roman" w:cs="Times New Roman"/>
                <w:sz w:val="24"/>
                <w:szCs w:val="24"/>
              </w:rPr>
              <w:t>83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Style w:val="Strong"/>
                <w:rFonts w:ascii="Calibri" w:hAnsi="Calibri" w:cs="font47"/>
              </w:rPr>
            </w:pPr>
            <w:r>
              <w:rPr>
                <w:rFonts w:ascii="Times New Roman" w:hAnsi="Times New Roman" w:cs="Times New Roman"/>
                <w:sz w:val="24"/>
                <w:szCs w:val="24"/>
                <w:lang w:eastAsia="en-IN"/>
              </w:rPr>
              <w:t>Preference of Mutual Funds Over Other Investment Avenues in Future</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rPr>
            </w:pPr>
            <w:r>
              <w:rPr>
                <w:rFonts w:ascii="Times New Roman" w:hAnsi="Times New Roman" w:cs="Times New Roman"/>
                <w:sz w:val="24"/>
                <w:szCs w:val="24"/>
              </w:rPr>
              <w:t>84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4.45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Observed Table 1</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Expected Table 1</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Chi-Square Table 1</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Observed Table 2</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Expected Table 2</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Chi-Square Table 2</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Observed Table 3</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91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Expected Table 3</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92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lang w:eastAsia="en-IN"/>
              </w:rPr>
            </w:pPr>
            <w:r>
              <w:rPr>
                <w:rFonts w:ascii="Times New Roman" w:eastAsia="Times New Roman" w:hAnsi="Times New Roman" w:cs="Times New Roman"/>
                <w:bCs/>
                <w:sz w:val="24"/>
                <w:szCs w:val="24"/>
              </w:rPr>
              <w:t>Chi-Square Table 3</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92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4.54 </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Anova</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94</w:t>
            </w:r>
          </w:p>
        </w:tc>
      </w:tr>
    </w:tbl>
    <w:p w:rsidR="009F73BE" w:rsidRDefault="009F73BE" w:rsidP="009F73BE">
      <w:pPr>
        <w:spacing w:after="0" w:line="360" w:lineRule="auto"/>
        <w:jc w:val="center"/>
        <w:rPr>
          <w:rFonts w:ascii="Times New Roman" w:eastAsia="Calibri"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p>
    <w:p w:rsidR="009F73BE" w:rsidRDefault="009F73BE" w:rsidP="009F73BE">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LIST OF CHARTS</w:t>
      </w:r>
    </w:p>
    <w:tbl>
      <w:tblPr>
        <w:tblStyle w:val="TableGrid"/>
        <w:tblW w:w="8305" w:type="dxa"/>
        <w:tblLook w:val="04A0" w:firstRow="1" w:lastRow="0" w:firstColumn="1" w:lastColumn="0" w:noHBand="0" w:noVBand="1"/>
      </w:tblPr>
      <w:tblGrid>
        <w:gridCol w:w="1725"/>
        <w:gridCol w:w="5074"/>
        <w:gridCol w:w="1506"/>
      </w:tblGrid>
      <w:tr w:rsidR="009F73BE" w:rsidTr="009F73BE">
        <w:trPr>
          <w:trHeight w:val="367"/>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CHART NO </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
                <w:bCs/>
                <w:sz w:val="24"/>
                <w:szCs w:val="24"/>
                <w:lang w:val="en-IN" w:eastAsia="en-IN" w:bidi="ml-IN"/>
              </w:rPr>
            </w:pPr>
            <w:r>
              <w:rPr>
                <w:rFonts w:ascii="Times New Roman" w:eastAsia="Times New Roman" w:hAnsi="Times New Roman" w:cs="Times New Roman"/>
                <w:b/>
                <w:bCs/>
                <w:sz w:val="24"/>
                <w:szCs w:val="24"/>
                <w:lang w:val="en-IN" w:eastAsia="en-IN" w:bidi="ml-IN"/>
              </w:rPr>
              <w:t xml:space="preserve">TITLE </w:t>
            </w:r>
          </w:p>
        </w:tc>
        <w:tc>
          <w:tcPr>
            <w:tcW w:w="1506"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Calibri" w:hAnsi="Times New Roman" w:cs="Times New Roman"/>
                <w:b/>
                <w:sz w:val="24"/>
                <w:szCs w:val="24"/>
              </w:rPr>
            </w:pPr>
            <w:r>
              <w:rPr>
                <w:rFonts w:ascii="Times New Roman" w:hAnsi="Times New Roman" w:cs="Times New Roman"/>
                <w:b/>
                <w:sz w:val="24"/>
                <w:szCs w:val="24"/>
              </w:rPr>
              <w:t>PAGE NO</w:t>
            </w:r>
          </w:p>
        </w:tc>
      </w:tr>
      <w:tr w:rsidR="009F73BE" w:rsidTr="009F73BE">
        <w:trPr>
          <w:trHeight w:val="367"/>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Age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w:t>
            </w:r>
          </w:p>
        </w:tc>
      </w:tr>
      <w:tr w:rsidR="009F73BE" w:rsidTr="009F73BE">
        <w:trPr>
          <w:trHeight w:val="37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Gender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9F73BE" w:rsidTr="009F73BE">
        <w:trPr>
          <w:trHeight w:val="37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Educational Qualification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w:t>
            </w:r>
          </w:p>
        </w:tc>
      </w:tr>
      <w:tr w:rsidR="009F73BE" w:rsidTr="009F73BE">
        <w:trPr>
          <w:trHeight w:val="370"/>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Occupation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9F73BE" w:rsidTr="009F73BE">
        <w:trPr>
          <w:trHeight w:val="426"/>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Monthly Income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9F73BE" w:rsidTr="009F73BE">
        <w:trPr>
          <w:trHeight w:val="374"/>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Marital Status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p>
        </w:tc>
      </w:tr>
      <w:tr w:rsidR="009F73BE" w:rsidTr="009F73BE">
        <w:trPr>
          <w:trHeight w:val="430"/>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Annual Savings of Respondents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Period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9F73BE" w:rsidTr="009F73BE">
        <w:trPr>
          <w:trHeight w:val="44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Mode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49</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Monthly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Investment Period</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9F73BE" w:rsidTr="009F73BE">
        <w:trPr>
          <w:trHeight w:val="429"/>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Review of Mutual Fund Investments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9F73BE" w:rsidTr="009F73BE">
        <w:trPr>
          <w:trHeight w:val="441"/>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Regular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Diversification of Investments Across Schemes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i/>
                <w:iCs/>
                <w:sz w:val="24"/>
                <w:szCs w:val="24"/>
              </w:rPr>
            </w:pPr>
            <w:r>
              <w:rPr>
                <w:rFonts w:ascii="Times New Roman" w:hAnsi="Times New Roman" w:cs="Times New Roman"/>
                <w:sz w:val="24"/>
                <w:szCs w:val="24"/>
                <w:lang w:eastAsia="en-IN"/>
              </w:rPr>
              <w:t>Preferred Type of Mutual Fund</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ind w:firstLine="720"/>
              <w:jc w:val="center"/>
              <w:rPr>
                <w:rFonts w:ascii="Times New Roman" w:hAnsi="Times New Roman" w:cs="Times New Roman"/>
                <w:sz w:val="24"/>
                <w:szCs w:val="24"/>
              </w:rPr>
            </w:pPr>
            <w:r>
              <w:rPr>
                <w:rFonts w:ascii="Times New Roman" w:hAnsi="Times New Roman" w:cs="Times New Roman"/>
                <w:sz w:val="24"/>
                <w:szCs w:val="24"/>
                <w:lang w:eastAsia="en-IN"/>
              </w:rPr>
              <w:t>Preferred Level of Risk</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Purpose of Investing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Channel of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4.19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Influence on Investment Decision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59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Return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Preferred Withdrawal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Factors Influencing Investment Decision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Influence of Advisor Suggestions on Investment Decisions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263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Safety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lang w:eastAsia="en-IN"/>
              </w:rPr>
              <w:t>Importance of Tax Benefit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4.26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Importance of Liquidity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Importance of Past Returns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Importance of Diversification Benefit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4.29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Importance of Professional Fund Management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69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hAnsi="Times New Roman" w:cs="Times New Roman"/>
                <w:bCs/>
                <w:sz w:val="24"/>
                <w:szCs w:val="24"/>
              </w:rPr>
            </w:pPr>
            <w:r>
              <w:rPr>
                <w:rFonts w:ascii="Times New Roman" w:hAnsi="Times New Roman" w:cs="Times New Roman"/>
                <w:sz w:val="24"/>
                <w:szCs w:val="24"/>
                <w:lang w:eastAsia="en-IN"/>
              </w:rPr>
              <w:t>Importance of Regular Savings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Importance of Transparency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Importance of Charges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Importance of Convenience While Selecting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Safest Investment Option</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74</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4.35</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Factors Preventing Investment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75</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4.36</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Mutual Funds Provide Better Returns Than Traditional Investments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76</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4.37</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SIP is a Convenient Method of Investing</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77</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4.38</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Risk Level Affects Investment Decisions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78</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4.39</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Mutual Funds are Less Risky Than Direct Equity Investment</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79</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4.40</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Mutual Funds Provide Access to a Wide Range of Investment Options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80</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4.41</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Professional Fund Management Increases Confidence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81</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4.42</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Intention to Continue Investing in Mutual Funds in Future</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82</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4.43</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Encouraging Others to Invest in Mutual Funds</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83</w:t>
            </w:r>
          </w:p>
        </w:tc>
      </w:tr>
      <w:tr w:rsidR="009F73BE" w:rsidTr="009F73BE">
        <w:trPr>
          <w:trHeight w:val="432"/>
        </w:trPr>
        <w:tc>
          <w:tcPr>
            <w:tcW w:w="1725"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hAnsi="Times New Roman" w:cs="Times New Roman"/>
                <w:sz w:val="24"/>
                <w:szCs w:val="24"/>
              </w:rPr>
            </w:pPr>
            <w:r>
              <w:rPr>
                <w:rFonts w:ascii="Times New Roman" w:hAnsi="Times New Roman" w:cs="Times New Roman"/>
                <w:sz w:val="24"/>
                <w:szCs w:val="24"/>
              </w:rPr>
              <w:t>4.44</w:t>
            </w:r>
          </w:p>
        </w:tc>
        <w:tc>
          <w:tcPr>
            <w:tcW w:w="5074" w:type="dxa"/>
            <w:tcBorders>
              <w:top w:val="single" w:sz="4" w:space="0" w:color="auto"/>
              <w:left w:val="single" w:sz="4" w:space="0" w:color="auto"/>
              <w:bottom w:val="single" w:sz="4" w:space="0" w:color="auto"/>
              <w:right w:val="single" w:sz="4" w:space="0" w:color="auto"/>
            </w:tcBorders>
            <w:hideMark/>
          </w:tcPr>
          <w:p w:rsidR="009F73BE" w:rsidRDefault="009F73BE">
            <w:pPr>
              <w:spacing w:line="240" w:lineRule="auto"/>
              <w:jc w:val="center"/>
              <w:rPr>
                <w:rFonts w:ascii="Times New Roman" w:eastAsia="Times New Roman" w:hAnsi="Times New Roman" w:cs="Times New Roman"/>
                <w:bCs/>
                <w:sz w:val="24"/>
                <w:szCs w:val="24"/>
                <w:lang w:val="en-IN" w:eastAsia="en-IN" w:bidi="ml-IN"/>
              </w:rPr>
            </w:pPr>
            <w:r>
              <w:rPr>
                <w:rFonts w:ascii="Times New Roman" w:hAnsi="Times New Roman" w:cs="Times New Roman"/>
                <w:sz w:val="24"/>
                <w:szCs w:val="24"/>
                <w:lang w:eastAsia="en-IN"/>
              </w:rPr>
              <w:t>Preference of Mutual Funds Over Other Investment Avenues in Future</w:t>
            </w:r>
          </w:p>
        </w:tc>
        <w:tc>
          <w:tcPr>
            <w:tcW w:w="1506" w:type="dxa"/>
            <w:tcBorders>
              <w:top w:val="single" w:sz="4" w:space="0" w:color="auto"/>
              <w:left w:val="single" w:sz="4" w:space="0" w:color="auto"/>
              <w:bottom w:val="single" w:sz="4" w:space="0" w:color="auto"/>
              <w:right w:val="single" w:sz="4" w:space="0" w:color="auto"/>
            </w:tcBorders>
            <w:vAlign w:val="center"/>
            <w:hideMark/>
          </w:tcPr>
          <w:p w:rsidR="009F73BE" w:rsidRDefault="009F73BE">
            <w:pPr>
              <w:spacing w:line="240" w:lineRule="auto"/>
              <w:jc w:val="center"/>
              <w:rPr>
                <w:rFonts w:ascii="Times New Roman" w:eastAsia="Calibri" w:hAnsi="Times New Roman" w:cs="Times New Roman"/>
                <w:sz w:val="24"/>
                <w:szCs w:val="24"/>
              </w:rPr>
            </w:pPr>
            <w:r>
              <w:rPr>
                <w:rFonts w:ascii="Times New Roman" w:hAnsi="Times New Roman" w:cs="Times New Roman"/>
                <w:sz w:val="24"/>
                <w:szCs w:val="24"/>
              </w:rPr>
              <w:t>84</w:t>
            </w:r>
          </w:p>
        </w:tc>
      </w:tr>
    </w:tbl>
    <w:p w:rsidR="009F73BE" w:rsidRDefault="009F73BE" w:rsidP="009F73BE">
      <w:pPr>
        <w:rPr>
          <w:rFonts w:eastAsia="Calibri"/>
          <w:kern w:val="2"/>
          <w:sz w:val="24"/>
          <w:szCs w:val="24"/>
          <w14:ligatures w14:val="standardContextual"/>
        </w:rPr>
      </w:pPr>
    </w:p>
    <w:p w:rsidR="009F73BE" w:rsidRDefault="009F73BE" w:rsidP="009F73BE">
      <w:pPr>
        <w:spacing w:after="0" w:line="360" w:lineRule="auto"/>
        <w:jc w:val="both"/>
        <w:rPr>
          <w:rFonts w:ascii="Times New Roman" w:hAnsi="Times New Roman" w:cs="Times New Roman"/>
          <w:b/>
          <w:bCs/>
          <w:sz w:val="24"/>
          <w:szCs w:val="24"/>
        </w:rPr>
      </w:pPr>
    </w:p>
    <w:p w:rsidR="009F73BE" w:rsidRDefault="009F73BE" w:rsidP="009F73BE">
      <w:pPr>
        <w:spacing w:before="240" w:line="360" w:lineRule="auto"/>
        <w:jc w:val="center"/>
        <w:rPr>
          <w:rFonts w:ascii="Times New Roman" w:hAnsi="Times New Roman" w:cs="Times New Roman"/>
          <w:bCs/>
          <w:sz w:val="24"/>
          <w:szCs w:val="24"/>
        </w:rPr>
      </w:pPr>
      <w:r>
        <w:rPr>
          <w:rFonts w:ascii="Times New Roman" w:hAnsi="Times New Roman" w:cs="Times New Roman"/>
          <w:b/>
          <w:bCs/>
          <w:sz w:val="24"/>
          <w:szCs w:val="24"/>
        </w:rPr>
        <w:br w:type="page"/>
      </w:r>
      <w:r>
        <w:rPr>
          <w:rFonts w:ascii="Times New Roman" w:hAnsi="Times New Roman" w:cs="Times New Roman"/>
          <w:b/>
          <w:bCs/>
          <w:sz w:val="28"/>
          <w:szCs w:val="24"/>
        </w:rPr>
        <w:lastRenderedPageBreak/>
        <w:t>EXECUTIVE SUMMARY</w:t>
      </w:r>
    </w:p>
    <w:p w:rsidR="009F73BE" w:rsidRDefault="009F73BE" w:rsidP="009F73BE">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The study titled “A Study on Investment Behaviour of Mutual Fund Investors with Reference to Geojit Financial Service Ltd.” focuses on understanding the investment pattern, awareness level, preferences, and decision-making behaviour of mutual fund investors. Mutual funds have become an important investment avenue for individuals who seek professional fund management, diversification, liquidity, and long-term wealth creation. In the present financial environment, investors are increasingly attracted towards mutual funds due to systematic investment plans, tax benefits, and the availability of different schemes based on risk and return preferences.</w:t>
      </w:r>
    </w:p>
    <w:p w:rsidR="009F73BE" w:rsidRDefault="009F73BE" w:rsidP="009F73BE">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The main objective of the study is to analyze the investment behaviour of mutual fund investors associated with Geojit Financial Service Ltd. The study examines factors such as investment objectives, risk tolerance, preferred type of mutual fund schemes, investment duration, source of information, satisfaction level, and factors influencing investment decisions. It also focuses on understanding the level of awareness among investors regarding mutual fund products and the role of financial advisors in guiding investment decisions.</w:t>
      </w:r>
    </w:p>
    <w:p w:rsidR="009F73BE" w:rsidRDefault="009F73BE" w:rsidP="009F73BE">
      <w:p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The study is based on both primary and secondary data. Primary data was collected from mutual fund investors through structured questionnaires and personal interaction. Secondary data was collected from books, journals, company reports, mutual fund publications, websites, and other financial sources. The collected data was analyzed using simple percentage analysis and suitable statistical tools to interpret investor behaviour and preferences.</w:t>
      </w:r>
    </w:p>
    <w:p w:rsidR="009F73BE" w:rsidRDefault="009F73BE" w:rsidP="009F73BE">
      <w:pPr>
        <w:spacing w:before="240" w:line="360" w:lineRule="auto"/>
        <w:jc w:val="both"/>
        <w:rPr>
          <w:rFonts w:ascii="Times New Roman" w:hAnsi="Times New Roman" w:cs="Times New Roman"/>
          <w:bCs/>
          <w:sz w:val="44"/>
          <w:szCs w:val="44"/>
        </w:rPr>
      </w:pPr>
      <w:r>
        <w:rPr>
          <w:rFonts w:ascii="Times New Roman" w:hAnsi="Times New Roman" w:cs="Times New Roman"/>
          <w:bCs/>
          <w:sz w:val="24"/>
          <w:szCs w:val="24"/>
        </w:rPr>
        <w:t>The study concludes that mutual funds play an important role in helping investors achieve financial goals through systematic and diversified investment. It suggests that Geojit Financial Service Ltd. can improve investor awareness by providing proper guidance, regular updates, investor education programs, and personalized financial advice. Overall, the study highlights the importance of understanding investor behaviour for improving mutual fund services, investor satisfaction, and long-term investment participation.</w:t>
      </w:r>
    </w:p>
    <w:p w:rsidR="009F73BE" w:rsidRDefault="009F73BE" w:rsidP="009F73BE">
      <w:pPr>
        <w:spacing w:after="0" w:line="360" w:lineRule="auto"/>
        <w:jc w:val="center"/>
        <w:rPr>
          <w:rFonts w:ascii="Times New Roman" w:hAnsi="Times New Roman" w:cs="Times New Roman"/>
          <w:b/>
          <w:bCs/>
          <w:sz w:val="44"/>
          <w:szCs w:val="44"/>
        </w:rPr>
      </w:pPr>
    </w:p>
    <w:p w:rsidR="00D806AD" w:rsidRPr="00635B72" w:rsidRDefault="00445B10" w:rsidP="00275966">
      <w:pPr>
        <w:pStyle w:val="ListParagraph"/>
        <w:numPr>
          <w:ilvl w:val="1"/>
          <w:numId w:val="1"/>
        </w:numPr>
        <w:spacing w:before="240" w:line="360" w:lineRule="auto"/>
        <w:rPr>
          <w:rFonts w:ascii="Times New Roman" w:hAnsi="Times New Roman" w:cs="Times New Roman"/>
          <w:b/>
          <w:bCs/>
          <w:sz w:val="28"/>
          <w:szCs w:val="28"/>
        </w:rPr>
      </w:pPr>
      <w:bookmarkStart w:id="0" w:name="_GoBack"/>
      <w:bookmarkEnd w:id="0"/>
      <w:r w:rsidRPr="00635B72">
        <w:rPr>
          <w:rFonts w:ascii="Times New Roman" w:hAnsi="Times New Roman" w:cs="Times New Roman"/>
          <w:b/>
          <w:bCs/>
          <w:sz w:val="28"/>
          <w:szCs w:val="28"/>
        </w:rPr>
        <w:lastRenderedPageBreak/>
        <w:t>INTRODUCTION</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Investment is an important financial activity that helps individuals to save money and earn returns for future needs. In the present economic environment, people are becoming more aware of different investment avenues such as bank deposits, shares, bonds, insurance, real estate, gold, and mutual funds. Among these alternatives, mutual funds have gained greater importance because they provide professional fund management, diversification, liquidity, and the opportunity to invest with small amounts. Mutual funds collect money from many investors and invest it in different securities such as equity shares, debt instruments, and money market instruments according to the investment objective of the scheme.</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Investment behaviour refers to the attitude, perception, preference, decision-making pattern, and risk-taking ability of investors while selecting investment options. The behaviour of mutual fund investors is influenced by various factors such as income level, age, education, financial awareness, risk tolerance, investment objective, expected return, past performance of funds, advice from financial experts, and market conditions. Some investors prefer mutual funds for long-term wealth creation, while others invest for tax saving, regular income, retirement planning, or children’s education. Therefore, understanding investor behaviour is essential for financial service providers to design suitable investment products and advisory services.</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Mutual funds are considered a convenient investment option for both small and large investors. They help investors participate in the capital market without requiring detailed knowledge of stock market operations. The availability of different types of mutual fund schemes such as equity funds, debt funds, balanced funds, index funds, liquid funds, and tax-saving funds provides investors with various choices based on their financial goals and risk capacity. Systematic Investment Plan (SIP) has also made mutual fund investment more popular, as it allows investors to invest a fixed amount regularly and develop disciplined saving habits.</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Geojit Financial Services is one of the well-known financial service providers in India, offering services related to equity trading, mutual funds, portfolio management, financial planning, and investment advisory. The company plays an important role in guiding investors to select suitable investment products according to their financial needs and risk profile. With the increasing popularity of mutual funds, investors depend on financial </w:t>
      </w:r>
      <w:r w:rsidRPr="00635B72">
        <w:rPr>
          <w:rFonts w:ascii="Times New Roman" w:hAnsi="Times New Roman" w:cs="Times New Roman"/>
          <w:sz w:val="24"/>
          <w:szCs w:val="24"/>
        </w:rPr>
        <w:lastRenderedPageBreak/>
        <w:t>service firms like Geojit Financial Services for proper advice, easy investment facilities, and market-related information.</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study titled “Investment Behaviour of Mutual Fund Investors with Reference to Geojit Financial Services” focuses on understanding the investment pattern, awareness level, preferences, and satisfaction of mutual fund investors. The study also examines the factors influencing investors while choosing mutual fund schemes and the role of Geojit Financial Services in supporting investment decisions. It helps to identify whether investors are motivated by return, safety, liquidity, tax benefits, professional management, or advice from financial consultants.</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This study is relevant because mutual fund investment is growing rapidly among individuals who seek better returns than traditional savings options. However, investor decisions are often affected by market risk, lack of awareness, fear of loss, and dependence on advice from others. Hence, analyzing the investment behaviour of mutual fund investors helps to understand their expectations, problems, and level of confidence in mutual fund investments. The findings of the study may be useful to investors, financial advisors, mutual fund companies, and Geojit Financial Services for improving investment services and investor education.</w:t>
      </w:r>
    </w:p>
    <w:p w:rsidR="00AF3CE0" w:rsidRPr="00635B72" w:rsidRDefault="00AF3CE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Mutual funds have become an important investment avenue for modern investors. The investment behaviour of mutual fund investors depends on several personal, financial, and market-related factors. A study with reference to Geojit Financial Services helps to understand how investors make decisions, what factors influence their choices, and how financial service providers can improve investor satisfaction and confidence.</w:t>
      </w:r>
    </w:p>
    <w:p w:rsidR="000E24AC" w:rsidRPr="00635B72" w:rsidRDefault="000E24AC" w:rsidP="00275966">
      <w:pPr>
        <w:pStyle w:val="Heading2"/>
        <w:spacing w:before="240" w:after="200" w:line="360" w:lineRule="auto"/>
        <w:jc w:val="both"/>
        <w:rPr>
          <w:rFonts w:ascii="Times New Roman" w:hAnsi="Times New Roman" w:cs="Times New Roman"/>
          <w:b/>
          <w:bCs/>
          <w:color w:val="auto"/>
          <w:sz w:val="24"/>
          <w:szCs w:val="24"/>
        </w:rPr>
      </w:pPr>
      <w:r w:rsidRPr="00635B72">
        <w:rPr>
          <w:rFonts w:ascii="Times New Roman" w:hAnsi="Times New Roman" w:cs="Times New Roman"/>
          <w:b/>
          <w:bCs/>
          <w:color w:val="auto"/>
          <w:sz w:val="24"/>
          <w:szCs w:val="24"/>
        </w:rPr>
        <w:t>Meaning of Investment</w:t>
      </w:r>
    </w:p>
    <w:p w:rsidR="000E24AC" w:rsidRPr="00635B72" w:rsidRDefault="000E24AC" w:rsidP="00275966">
      <w:pPr>
        <w:pStyle w:val="NormalWeb"/>
        <w:spacing w:before="240" w:after="200" w:line="360" w:lineRule="auto"/>
        <w:jc w:val="both"/>
      </w:pPr>
      <w:r w:rsidRPr="00635B72">
        <w:t>Investment means the commitment of money or financial resources into an asset or financial instrument with the expectation of earning future returns. It involves postponing present consumption in order to gain benefits in the future. Investment may be made for income generation, wealth creation, capital appreciation, tax saving, retirement planning, children’s education, or financial security.</w:t>
      </w:r>
    </w:p>
    <w:p w:rsidR="000E24AC" w:rsidRPr="00635B72" w:rsidRDefault="000E24AC" w:rsidP="00275966">
      <w:pPr>
        <w:pStyle w:val="NormalWeb"/>
        <w:spacing w:before="240" w:after="200" w:line="360" w:lineRule="auto"/>
        <w:jc w:val="both"/>
      </w:pPr>
      <w:r w:rsidRPr="00635B72">
        <w:t xml:space="preserve">In simple terms, investment is the process of using savings in a productive manner to earn additional income. The return from investment may be in the form of interest, dividend, </w:t>
      </w:r>
      <w:r w:rsidRPr="00635B72">
        <w:lastRenderedPageBreak/>
        <w:t>capital gain, or appreciation in the value of assets. However, every investment involves some level of risk. Therefore, investors should select investment avenues based on their financial goals, risk capacity, income level, and investment period.</w:t>
      </w:r>
    </w:p>
    <w:p w:rsidR="00B366C0" w:rsidRPr="00635B72" w:rsidRDefault="00B366C0" w:rsidP="00275966">
      <w:pPr>
        <w:pStyle w:val="ListParagraph"/>
        <w:numPr>
          <w:ilvl w:val="1"/>
          <w:numId w:val="1"/>
        </w:num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t xml:space="preserve">STATEMENT OF PROBLEM </w:t>
      </w:r>
    </w:p>
    <w:p w:rsidR="00B366C0" w:rsidRPr="00635B72" w:rsidRDefault="00B366C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Mutual funds have become one of the popular investment avenues among individual investors due to their professional management, diversification, liquidity, and potential for better returns. However, the investment behaviour of mutual fund investors differs from person to person based on their income level, age, education, risk-taking ability, financial awareness, investment objective, and market knowledge. Many investors invest in mutual funds without having complete knowledge about the nature of schemes, risk factors, return expectations, and market fluctuations.</w:t>
      </w:r>
    </w:p>
    <w:p w:rsidR="00B366C0" w:rsidRPr="00635B72" w:rsidRDefault="00B366C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Geojit Financial Services provides various financial and investment services, including mutual fund advisory and investment support. Even though investors receive guidance from such financial service providers, it is important to understand whether investors are fully aware of mutual fund products, what factors influence their investment decisions, and how satisfied they are with the services provided. Therefore, the present study attempts to analyze the investment behaviour of mutual fund investors with reference to Geojit Financial Services.</w:t>
      </w:r>
    </w:p>
    <w:p w:rsidR="00B366C0" w:rsidRPr="00635B72" w:rsidRDefault="00B366C0"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main problem of the study is to identify the factors influencing mutual fund investment decisions, the level of awareness among investors, their preferred schemes, investment objectives, risk perception, and satisfaction level. The study also focuses on understanding the role of Geojit Financial Services in guiding investors towards suitable mutual fund investments.</w:t>
      </w:r>
    </w:p>
    <w:p w:rsidR="00D806AD" w:rsidRPr="00635B72" w:rsidRDefault="00AF3CE0" w:rsidP="00275966">
      <w:pPr>
        <w:pStyle w:val="ListParagraph"/>
        <w:numPr>
          <w:ilvl w:val="1"/>
          <w:numId w:val="1"/>
        </w:numPr>
        <w:spacing w:before="240" w:line="360" w:lineRule="auto"/>
        <w:jc w:val="both"/>
        <w:rPr>
          <w:rFonts w:ascii="Times New Roman" w:hAnsi="Times New Roman" w:cs="Times New Roman"/>
          <w:b/>
          <w:bCs/>
          <w:kern w:val="2"/>
          <w:sz w:val="28"/>
          <w:szCs w:val="28"/>
          <w:lang w:val="en-IN"/>
        </w:rPr>
      </w:pPr>
      <w:r w:rsidRPr="00635B72">
        <w:rPr>
          <w:rFonts w:ascii="Times New Roman" w:hAnsi="Times New Roman" w:cs="Times New Roman"/>
          <w:b/>
          <w:bCs/>
          <w:kern w:val="2"/>
          <w:sz w:val="28"/>
          <w:szCs w:val="28"/>
          <w:lang w:val="en-IN"/>
        </w:rPr>
        <w:t>SIGNIFICANCE OR SCOPE OF THE STUDY</w:t>
      </w:r>
    </w:p>
    <w:p w:rsidR="00E61941" w:rsidRPr="00635B72" w:rsidRDefault="00E61941" w:rsidP="00275966">
      <w:pPr>
        <w:spacing w:before="240" w:line="360" w:lineRule="auto"/>
        <w:jc w:val="both"/>
        <w:rPr>
          <w:rFonts w:ascii="Times New Roman" w:hAnsi="Times New Roman" w:cs="Times New Roman"/>
          <w:kern w:val="2"/>
          <w:sz w:val="24"/>
          <w:szCs w:val="24"/>
          <w:lang w:val="en-IN"/>
        </w:rPr>
      </w:pPr>
      <w:r w:rsidRPr="00635B72">
        <w:rPr>
          <w:rFonts w:ascii="Times New Roman" w:hAnsi="Times New Roman" w:cs="Times New Roman"/>
          <w:kern w:val="2"/>
          <w:sz w:val="24"/>
          <w:szCs w:val="24"/>
          <w:lang w:val="en-IN"/>
        </w:rPr>
        <w:t>The study on Investment Behaviour of Mutual Fund Investors with Reference to Geojit Financial Services is significant because mutual funds are becoming an important investment option for individuals who seek better returns, diversification, and professional fund management. The study helps to understand the attitude, preference, awareness, and decision-making pattern of mutual fund investors.</w:t>
      </w:r>
    </w:p>
    <w:p w:rsidR="00E61941" w:rsidRPr="00635B72" w:rsidRDefault="00E61941" w:rsidP="00275966">
      <w:pPr>
        <w:spacing w:before="240" w:line="360" w:lineRule="auto"/>
        <w:jc w:val="both"/>
        <w:rPr>
          <w:rFonts w:ascii="Times New Roman" w:hAnsi="Times New Roman" w:cs="Times New Roman"/>
          <w:kern w:val="2"/>
          <w:sz w:val="24"/>
          <w:szCs w:val="24"/>
          <w:lang w:val="en-IN"/>
        </w:rPr>
      </w:pPr>
      <w:r w:rsidRPr="00635B72">
        <w:rPr>
          <w:rFonts w:ascii="Times New Roman" w:hAnsi="Times New Roman" w:cs="Times New Roman"/>
          <w:kern w:val="2"/>
          <w:sz w:val="24"/>
          <w:szCs w:val="24"/>
          <w:lang w:val="en-IN"/>
        </w:rPr>
        <w:lastRenderedPageBreak/>
        <w:t>This study is useful for investors as it helps them understand the importance of selecting mutual fund schemes based on financial goals, risk capacity, and investment period. It also creates awareness about the need for proper financial planning before investing in mutual funds. Investors can benefit from the study by understanding common factors that influence investment decisions and the importance of professional guidance.</w:t>
      </w:r>
    </w:p>
    <w:p w:rsidR="00D806AD" w:rsidRPr="00635B72" w:rsidRDefault="00AF3CE0" w:rsidP="00275966">
      <w:pPr>
        <w:pStyle w:val="ListParagraph"/>
        <w:numPr>
          <w:ilvl w:val="1"/>
          <w:numId w:val="1"/>
        </w:num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t>OBJECTIVE</w:t>
      </w:r>
      <w:r w:rsidR="00991D6C" w:rsidRPr="00635B72">
        <w:rPr>
          <w:rFonts w:ascii="Times New Roman" w:hAnsi="Times New Roman" w:cs="Times New Roman"/>
          <w:b/>
          <w:bCs/>
          <w:sz w:val="28"/>
          <w:szCs w:val="28"/>
        </w:rPr>
        <w:t>S</w:t>
      </w:r>
      <w:r w:rsidRPr="00635B72">
        <w:rPr>
          <w:rFonts w:ascii="Times New Roman" w:hAnsi="Times New Roman" w:cs="Times New Roman"/>
          <w:b/>
          <w:bCs/>
          <w:sz w:val="28"/>
          <w:szCs w:val="28"/>
        </w:rPr>
        <w:t xml:space="preserve"> OF THE STUDY</w:t>
      </w:r>
    </w:p>
    <w:p w:rsidR="009D2979" w:rsidRPr="00635B72" w:rsidRDefault="009D2979" w:rsidP="009D2979">
      <w:pPr>
        <w:pStyle w:val="ListParagraph"/>
        <w:numPr>
          <w:ilvl w:val="0"/>
          <w:numId w:val="2"/>
        </w:numPr>
        <w:spacing w:before="240" w:line="360" w:lineRule="auto"/>
        <w:rPr>
          <w:rFonts w:ascii="Times New Roman" w:eastAsia="Times New Roman" w:hAnsi="Times New Roman" w:cs="Times New Roman"/>
          <w:sz w:val="24"/>
          <w:szCs w:val="24"/>
          <w:lang w:bidi="ml-IN"/>
        </w:rPr>
      </w:pPr>
      <w:r w:rsidRPr="00635B72">
        <w:rPr>
          <w:rFonts w:ascii="Times New Roman" w:eastAsia="Times New Roman" w:hAnsi="Times New Roman" w:cs="Times New Roman"/>
          <w:sz w:val="24"/>
          <w:szCs w:val="24"/>
          <w:lang w:bidi="ml-IN"/>
        </w:rPr>
        <w:t>To analyze the investment behaviour of mutual fund investors with special reference to Geojit Financial Services Ltd</w:t>
      </w:r>
    </w:p>
    <w:p w:rsidR="009E4773" w:rsidRPr="00635B72" w:rsidRDefault="009E4773" w:rsidP="009D2979">
      <w:pPr>
        <w:pStyle w:val="ListParagraph"/>
        <w:numPr>
          <w:ilvl w:val="0"/>
          <w:numId w:val="2"/>
        </w:numPr>
        <w:spacing w:before="240" w:line="360" w:lineRule="auto"/>
        <w:rPr>
          <w:rFonts w:ascii="Times New Roman" w:eastAsia="Times New Roman" w:hAnsi="Times New Roman" w:cs="Times New Roman"/>
          <w:sz w:val="24"/>
          <w:szCs w:val="24"/>
          <w:lang w:bidi="ml-IN"/>
        </w:rPr>
      </w:pPr>
      <w:r w:rsidRPr="00635B72">
        <w:rPr>
          <w:rFonts w:ascii="Times New Roman" w:eastAsia="Times New Roman" w:hAnsi="Times New Roman" w:cs="Times New Roman"/>
          <w:sz w:val="24"/>
          <w:szCs w:val="24"/>
          <w:lang w:bidi="ml-IN"/>
        </w:rPr>
        <w:t>To identify the key factors influencing investment decisions</w:t>
      </w:r>
      <w:r w:rsidR="00991D6C" w:rsidRPr="00635B72">
        <w:rPr>
          <w:rFonts w:ascii="Times New Roman" w:eastAsia="Times New Roman" w:hAnsi="Times New Roman" w:cs="Times New Roman"/>
          <w:sz w:val="24"/>
          <w:szCs w:val="24"/>
          <w:lang w:bidi="ml-IN"/>
        </w:rPr>
        <w:t>.</w:t>
      </w:r>
    </w:p>
    <w:p w:rsidR="009E4773" w:rsidRPr="00635B72" w:rsidRDefault="009E4773" w:rsidP="00275966">
      <w:pPr>
        <w:pStyle w:val="ListParagraph"/>
        <w:numPr>
          <w:ilvl w:val="0"/>
          <w:numId w:val="2"/>
        </w:numPr>
        <w:spacing w:before="240" w:line="360" w:lineRule="auto"/>
        <w:rPr>
          <w:rFonts w:ascii="Times New Roman" w:eastAsia="Times New Roman" w:hAnsi="Times New Roman" w:cs="Times New Roman"/>
          <w:sz w:val="24"/>
          <w:szCs w:val="24"/>
          <w:lang w:bidi="ml-IN"/>
        </w:rPr>
      </w:pPr>
      <w:r w:rsidRPr="00635B72">
        <w:rPr>
          <w:rFonts w:ascii="Times New Roman" w:eastAsia="Times New Roman" w:hAnsi="Times New Roman" w:cs="Times New Roman"/>
          <w:sz w:val="24"/>
          <w:szCs w:val="24"/>
          <w:lang w:bidi="ml-IN"/>
        </w:rPr>
        <w:t>To examine investor preferen</w:t>
      </w:r>
      <w:r w:rsidR="00991D6C" w:rsidRPr="00635B72">
        <w:rPr>
          <w:rFonts w:ascii="Times New Roman" w:eastAsia="Times New Roman" w:hAnsi="Times New Roman" w:cs="Times New Roman"/>
          <w:sz w:val="24"/>
          <w:szCs w:val="24"/>
          <w:lang w:bidi="ml-IN"/>
        </w:rPr>
        <w:t>ces towards different types of M</w:t>
      </w:r>
      <w:r w:rsidRPr="00635B72">
        <w:rPr>
          <w:rFonts w:ascii="Times New Roman" w:eastAsia="Times New Roman" w:hAnsi="Times New Roman" w:cs="Times New Roman"/>
          <w:sz w:val="24"/>
          <w:szCs w:val="24"/>
          <w:lang w:bidi="ml-IN"/>
        </w:rPr>
        <w:t>utual fund schemes</w:t>
      </w:r>
    </w:p>
    <w:p w:rsidR="009E4773" w:rsidRPr="00635B72" w:rsidRDefault="009E4773" w:rsidP="00275966">
      <w:pPr>
        <w:pStyle w:val="ListParagraph"/>
        <w:numPr>
          <w:ilvl w:val="0"/>
          <w:numId w:val="2"/>
        </w:numPr>
        <w:spacing w:before="240" w:line="360" w:lineRule="auto"/>
        <w:rPr>
          <w:rFonts w:ascii="Times New Roman" w:eastAsia="Times New Roman" w:hAnsi="Times New Roman" w:cs="Times New Roman"/>
          <w:sz w:val="24"/>
          <w:szCs w:val="24"/>
          <w:lang w:bidi="ml-IN"/>
        </w:rPr>
      </w:pPr>
      <w:r w:rsidRPr="00635B72">
        <w:rPr>
          <w:rFonts w:ascii="Times New Roman" w:eastAsia="Times New Roman" w:hAnsi="Times New Roman" w:cs="Times New Roman"/>
          <w:sz w:val="24"/>
          <w:szCs w:val="24"/>
          <w:lang w:bidi="ml-IN"/>
        </w:rPr>
        <w:t>To study the relationship between demographic factors and investment behaviour</w:t>
      </w:r>
    </w:p>
    <w:p w:rsidR="00C736E4" w:rsidRPr="00635B72" w:rsidRDefault="00C736E4" w:rsidP="00275966">
      <w:pPr>
        <w:spacing w:before="240"/>
        <w:rPr>
          <w:rFonts w:ascii="Times New Roman" w:hAnsi="Times New Roman" w:cs="Times New Roman"/>
          <w:b/>
          <w:bCs/>
          <w:sz w:val="28"/>
          <w:szCs w:val="28"/>
        </w:rPr>
      </w:pPr>
      <w:r w:rsidRPr="00635B72">
        <w:rPr>
          <w:rFonts w:ascii="Times New Roman" w:eastAsia="Times New Roman" w:hAnsi="Times New Roman" w:cs="Times New Roman"/>
          <w:b/>
          <w:bCs/>
          <w:sz w:val="28"/>
          <w:szCs w:val="28"/>
          <w:lang w:bidi="ml-IN"/>
        </w:rPr>
        <w:t xml:space="preserve">1.5 </w:t>
      </w:r>
      <w:r w:rsidRPr="00635B72">
        <w:rPr>
          <w:rFonts w:ascii="Times New Roman" w:hAnsi="Times New Roman" w:cs="Times New Roman"/>
          <w:b/>
          <w:bCs/>
          <w:sz w:val="28"/>
          <w:szCs w:val="28"/>
        </w:rPr>
        <w:t xml:space="preserve">HYPOTHESES </w:t>
      </w:r>
    </w:p>
    <w:p w:rsidR="00C736E4" w:rsidRPr="00635B72" w:rsidRDefault="00C736E4" w:rsidP="00275966">
      <w:pPr>
        <w:spacing w:before="240" w:line="360" w:lineRule="auto"/>
        <w:rPr>
          <w:rFonts w:ascii="Times New Roman" w:hAnsi="Times New Roman" w:cs="Times New Roman"/>
          <w:b/>
          <w:bCs/>
          <w:sz w:val="24"/>
          <w:szCs w:val="24"/>
        </w:rPr>
      </w:pPr>
      <w:r w:rsidRPr="00635B72">
        <w:rPr>
          <w:rFonts w:ascii="Times New Roman" w:hAnsi="Times New Roman" w:cs="Times New Roman"/>
          <w:b/>
          <w:bCs/>
          <w:sz w:val="24"/>
          <w:szCs w:val="24"/>
        </w:rPr>
        <w:t>Hypotheses 1</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H₀: There is no significant relationship between age and investment behaviour.</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H₁: There is a significant relationship between age and investment behaviour.</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Statistical tool: Chi-square test</w:t>
      </w:r>
    </w:p>
    <w:p w:rsidR="008220EC" w:rsidRPr="00635B72" w:rsidRDefault="00C736E4" w:rsidP="00275966">
      <w:pPr>
        <w:spacing w:before="240" w:line="360" w:lineRule="auto"/>
        <w:rPr>
          <w:rFonts w:ascii="Times New Roman" w:hAnsi="Times New Roman" w:cs="Times New Roman"/>
          <w:b/>
          <w:bCs/>
          <w:sz w:val="24"/>
          <w:szCs w:val="24"/>
        </w:rPr>
      </w:pPr>
      <w:r w:rsidRPr="00635B72">
        <w:rPr>
          <w:rFonts w:ascii="Times New Roman" w:hAnsi="Times New Roman" w:cs="Times New Roman"/>
          <w:b/>
          <w:bCs/>
          <w:sz w:val="24"/>
          <w:szCs w:val="24"/>
        </w:rPr>
        <w:t>Hypotheses 2</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H₀: There is no significant relationship between income level and amount invested in mutual funds.</w:t>
      </w:r>
    </w:p>
    <w:p w:rsidR="00C736E4"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H₁: There is a significant relationship between income level and amount invested in mutual funds.</w:t>
      </w:r>
    </w:p>
    <w:p w:rsidR="00DA114C" w:rsidRDefault="00DA114C" w:rsidP="00275966">
      <w:pPr>
        <w:spacing w:before="240" w:line="360" w:lineRule="auto"/>
        <w:rPr>
          <w:rFonts w:ascii="Times New Roman" w:hAnsi="Times New Roman" w:cs="Times New Roman"/>
          <w:sz w:val="24"/>
          <w:szCs w:val="24"/>
        </w:rPr>
      </w:pPr>
    </w:p>
    <w:p w:rsidR="00DA114C" w:rsidRDefault="00DA114C" w:rsidP="00275966">
      <w:pPr>
        <w:spacing w:before="240" w:line="360" w:lineRule="auto"/>
        <w:rPr>
          <w:rFonts w:ascii="Times New Roman" w:hAnsi="Times New Roman" w:cs="Times New Roman"/>
          <w:sz w:val="24"/>
          <w:szCs w:val="24"/>
        </w:rPr>
      </w:pPr>
    </w:p>
    <w:p w:rsidR="00DA114C" w:rsidRDefault="00DA114C" w:rsidP="00275966">
      <w:pPr>
        <w:spacing w:before="240" w:line="360" w:lineRule="auto"/>
        <w:rPr>
          <w:rFonts w:ascii="Times New Roman" w:hAnsi="Times New Roman" w:cs="Times New Roman"/>
          <w:sz w:val="24"/>
          <w:szCs w:val="24"/>
        </w:rPr>
      </w:pPr>
    </w:p>
    <w:p w:rsidR="00F7287C"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 xml:space="preserve">Statistical tool: Chi-square test </w:t>
      </w:r>
    </w:p>
    <w:p w:rsidR="00C736E4" w:rsidRPr="00635B72" w:rsidRDefault="00C736E4" w:rsidP="00275966">
      <w:pPr>
        <w:spacing w:before="240" w:line="360" w:lineRule="auto"/>
        <w:rPr>
          <w:rFonts w:ascii="Times New Roman" w:hAnsi="Times New Roman" w:cs="Times New Roman"/>
          <w:b/>
          <w:bCs/>
          <w:sz w:val="24"/>
          <w:szCs w:val="24"/>
        </w:rPr>
      </w:pPr>
      <w:r w:rsidRPr="00635B72">
        <w:rPr>
          <w:rFonts w:ascii="Times New Roman" w:hAnsi="Times New Roman" w:cs="Times New Roman"/>
          <w:b/>
          <w:bCs/>
          <w:sz w:val="24"/>
          <w:szCs w:val="24"/>
        </w:rPr>
        <w:lastRenderedPageBreak/>
        <w:t>Hypotheses 3</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H₀: There is no significant relationship between risk appetite and type of mutual fund preferred.</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H₁: There is a significant relationship between risk appetite and type of mutual fund preferred.</w:t>
      </w:r>
    </w:p>
    <w:p w:rsidR="00C736E4" w:rsidRPr="00635B72" w:rsidRDefault="00C736E4"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 xml:space="preserve">Statistical tool: Chi-square test </w:t>
      </w:r>
    </w:p>
    <w:p w:rsidR="00C736E4" w:rsidRPr="00635B72" w:rsidRDefault="00C736E4" w:rsidP="00275966">
      <w:pPr>
        <w:spacing w:before="240" w:line="360" w:lineRule="auto"/>
        <w:rPr>
          <w:rFonts w:ascii="Times New Roman" w:hAnsi="Times New Roman" w:cs="Times New Roman"/>
          <w:b/>
          <w:bCs/>
          <w:sz w:val="24"/>
          <w:szCs w:val="24"/>
        </w:rPr>
      </w:pPr>
      <w:r w:rsidRPr="00635B72">
        <w:rPr>
          <w:rFonts w:ascii="Times New Roman" w:hAnsi="Times New Roman" w:cs="Times New Roman"/>
          <w:b/>
          <w:bCs/>
          <w:sz w:val="24"/>
          <w:szCs w:val="24"/>
        </w:rPr>
        <w:t>Hypotheses 4</w:t>
      </w:r>
    </w:p>
    <w:p w:rsidR="00395C5D" w:rsidRPr="00635B72" w:rsidRDefault="00395C5D" w:rsidP="00395C5D">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H0: There is no significant difference in the influence of key factors on investment decisions.</w:t>
      </w:r>
    </w:p>
    <w:p w:rsidR="00395C5D" w:rsidRPr="00635B72" w:rsidRDefault="00395C5D" w:rsidP="00395C5D">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H1: There is a significant difference in the influence of key factors on investment decisions.</w:t>
      </w:r>
    </w:p>
    <w:p w:rsidR="00395C5D" w:rsidRPr="00635B72" w:rsidRDefault="00395C5D" w:rsidP="00395C5D">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Statistical tool: ANOVA</w:t>
      </w:r>
    </w:p>
    <w:p w:rsidR="00D806AD" w:rsidRPr="00635B72" w:rsidRDefault="00AF3CE0" w:rsidP="00EF2314">
      <w:pPr>
        <w:pStyle w:val="ListParagraph"/>
        <w:numPr>
          <w:ilvl w:val="1"/>
          <w:numId w:val="19"/>
        </w:num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t>RESEARCH METHODOLOGY</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Research methodology explains the method adopted for conducting the study. It includes the research design, source of data, sampling method, sample size, tools for data collection, and tools for analysis.</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Research Design</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present study is descriptive in nature. Descriptive research design is used to describe the investment behaviour, awareness level, preferences, satisfaction, and problems of mutual fund investors. It helps to collect detailed information from respondents and analyze their opinions regarding mutual fund investments with reference to Geojit Financial Services.</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Source of Data</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study is based on both primary data and secondary data.</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Primary Data:</w:t>
      </w:r>
    </w:p>
    <w:p w:rsidR="00C736E4" w:rsidRPr="00635B72" w:rsidRDefault="00C736E4" w:rsidP="45945E8F">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 xml:space="preserve">Primary data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collected directly from mutual fund investors through a structured questionnaire. The questionnaire </w:t>
      </w:r>
      <w:r w:rsidR="008914E3" w:rsidRPr="00635B72">
        <w:rPr>
          <w:rFonts w:ascii="Times New Roman" w:hAnsi="Times New Roman" w:cs="Times New Roman"/>
          <w:sz w:val="24"/>
          <w:szCs w:val="24"/>
        </w:rPr>
        <w:t>was</w:t>
      </w:r>
      <w:r w:rsidR="0DEF257A" w:rsidRPr="00635B72">
        <w:rPr>
          <w:rFonts w:ascii="Times New Roman" w:hAnsi="Times New Roman" w:cs="Times New Roman"/>
          <w:sz w:val="24"/>
          <w:szCs w:val="24"/>
        </w:rPr>
        <w:t xml:space="preserve"> designed to include </w:t>
      </w:r>
      <w:r w:rsidRPr="00635B72">
        <w:rPr>
          <w:rFonts w:ascii="Times New Roman" w:hAnsi="Times New Roman" w:cs="Times New Roman"/>
          <w:sz w:val="24"/>
          <w:szCs w:val="24"/>
        </w:rPr>
        <w:t>questions related to demographic profile, investment objectives, awareness level, preferred schemes, factors influencing investment decisions, risk perception, and satisfaction level.</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Secondary Data:</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Secondary data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collected from books, journals, websites, company records, annual reports, mutual fund-related articles, and other published sources related to investment behaviour and mutual funds.</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Sampling Method</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Convenience sampling method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used for selecting respondents. The respondents will be selected based on their availability and willingness to provide information.</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Sample Size</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sample size of the study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100 respondents. The respondents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mutual fund investors associated with Geojit Financial Services.</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Area of the Study</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study </w:t>
      </w:r>
      <w:r w:rsidR="008914E3" w:rsidRPr="00635B72">
        <w:rPr>
          <w:rFonts w:ascii="Times New Roman" w:hAnsi="Times New Roman" w:cs="Times New Roman"/>
          <w:sz w:val="24"/>
          <w:szCs w:val="24"/>
        </w:rPr>
        <w:t>was</w:t>
      </w:r>
      <w:r w:rsidRPr="00635B72">
        <w:rPr>
          <w:rFonts w:ascii="Times New Roman" w:hAnsi="Times New Roman" w:cs="Times New Roman"/>
          <w:sz w:val="24"/>
          <w:szCs w:val="24"/>
        </w:rPr>
        <w:t xml:space="preserve"> conducted with reference to Geojit Financial Services. The respondents </w:t>
      </w:r>
      <w:r w:rsidR="002939EB" w:rsidRPr="00635B72">
        <w:rPr>
          <w:rFonts w:ascii="Times New Roman" w:hAnsi="Times New Roman" w:cs="Times New Roman"/>
          <w:sz w:val="24"/>
          <w:szCs w:val="24"/>
        </w:rPr>
        <w:t>was</w:t>
      </w:r>
      <w:r w:rsidRPr="00635B72">
        <w:rPr>
          <w:rFonts w:ascii="Times New Roman" w:hAnsi="Times New Roman" w:cs="Times New Roman"/>
          <w:sz w:val="24"/>
          <w:szCs w:val="24"/>
        </w:rPr>
        <w:t xml:space="preserve"> selected from mutual fund investors who are connected with the organization.</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Tools for Data Collection</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 structured questionnaire </w:t>
      </w:r>
      <w:r w:rsidR="002939EB" w:rsidRPr="00635B72">
        <w:rPr>
          <w:rFonts w:ascii="Times New Roman" w:hAnsi="Times New Roman" w:cs="Times New Roman"/>
          <w:sz w:val="24"/>
          <w:szCs w:val="24"/>
        </w:rPr>
        <w:t>was</w:t>
      </w:r>
      <w:r w:rsidRPr="00635B72">
        <w:rPr>
          <w:rFonts w:ascii="Times New Roman" w:hAnsi="Times New Roman" w:cs="Times New Roman"/>
          <w:sz w:val="24"/>
          <w:szCs w:val="24"/>
        </w:rPr>
        <w:t xml:space="preserve"> used as the main tool for collecting primary data from respondents. The questionnaire </w:t>
      </w:r>
      <w:r w:rsidR="002939EB" w:rsidRPr="00635B72">
        <w:rPr>
          <w:rFonts w:ascii="Times New Roman" w:hAnsi="Times New Roman" w:cs="Times New Roman"/>
          <w:sz w:val="24"/>
          <w:szCs w:val="24"/>
        </w:rPr>
        <w:t>was</w:t>
      </w:r>
      <w:r w:rsidR="0078723C" w:rsidRPr="00635B72">
        <w:rPr>
          <w:rFonts w:ascii="Times New Roman" w:hAnsi="Times New Roman" w:cs="Times New Roman"/>
          <w:sz w:val="24"/>
          <w:szCs w:val="24"/>
        </w:rPr>
        <w:t xml:space="preserve"> </w:t>
      </w:r>
      <w:r w:rsidRPr="00635B72">
        <w:rPr>
          <w:rFonts w:ascii="Times New Roman" w:hAnsi="Times New Roman" w:cs="Times New Roman"/>
          <w:sz w:val="24"/>
          <w:szCs w:val="24"/>
        </w:rPr>
        <w:t>consist of both multiple-choice questions and rating-scale questions.</w:t>
      </w:r>
    </w:p>
    <w:p w:rsidR="00C736E4" w:rsidRPr="00635B72" w:rsidRDefault="00C736E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Tools for Data Analysis</w:t>
      </w:r>
    </w:p>
    <w:p w:rsidR="001C46C4" w:rsidRPr="00635B72" w:rsidRDefault="001C46C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collected data was analyzed using statistical tools such as percentage analysis, tables, charts, Chi-square test, and ANOVA. The results will be interpreted in a clear and systematic manner.</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1. Percentage Analysis</w:t>
      </w:r>
    </w:p>
    <w:p w:rsidR="00C736E4" w:rsidRPr="00635B72" w:rsidRDefault="00C736E4" w:rsidP="45945E8F">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Percentage analysis is a simple statistical tool used to classify and interpret the responses collected from the respondents. It helps to present the data in a clear and understandable manner. In this study, percentage analysis w</w:t>
      </w:r>
      <w:r w:rsidR="5DD03308" w:rsidRPr="00635B72">
        <w:rPr>
          <w:rFonts w:ascii="Times New Roman" w:hAnsi="Times New Roman" w:cs="Times New Roman"/>
          <w:sz w:val="24"/>
          <w:szCs w:val="24"/>
        </w:rPr>
        <w:t>as</w:t>
      </w:r>
      <w:r w:rsidRPr="00635B72">
        <w:rPr>
          <w:rFonts w:ascii="Times New Roman" w:hAnsi="Times New Roman" w:cs="Times New Roman"/>
          <w:sz w:val="24"/>
          <w:szCs w:val="24"/>
        </w:rPr>
        <w:t xml:space="preserve"> used to analyze the demographic profile of respondents, awareness level, investment objectives, preferred mutual fund schemes, factors influencing investment decisions, risk perception, and satisfaction level.</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Formula:</w:t>
      </w:r>
    </w:p>
    <w:p w:rsidR="00DA114C" w:rsidRDefault="00DA114C" w:rsidP="00DA114C">
      <w:pPr>
        <w:spacing w:before="240" w:line="240" w:lineRule="auto"/>
        <w:jc w:val="both"/>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661312" behindDoc="0" locked="0" layoutInCell="1" allowOverlap="1">
                <wp:simplePos x="0" y="0"/>
                <wp:positionH relativeFrom="column">
                  <wp:posOffset>2802255</wp:posOffset>
                </wp:positionH>
                <wp:positionV relativeFrom="paragraph">
                  <wp:posOffset>137795</wp:posOffset>
                </wp:positionV>
                <wp:extent cx="609600" cy="276225"/>
                <wp:effectExtent l="0" t="0" r="0" b="9525"/>
                <wp:wrapNone/>
                <wp:docPr id="48" name="Rectangle 48"/>
                <wp:cNvGraphicFramePr/>
                <a:graphic xmlns:a="http://schemas.openxmlformats.org/drawingml/2006/main">
                  <a:graphicData uri="http://schemas.microsoft.com/office/word/2010/wordprocessingShape">
                    <wps:wsp>
                      <wps:cNvSpPr/>
                      <wps:spPr>
                        <a:xfrm>
                          <a:off x="0" y="0"/>
                          <a:ext cx="609600" cy="2762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DA114C" w:rsidRPr="00DA114C" w:rsidRDefault="00DA114C" w:rsidP="00DA114C">
                            <w:pPr>
                              <w:jc w:val="center"/>
                              <w:rPr>
                                <w:rFonts w:ascii="Times New Roman" w:hAnsi="Times New Roman" w:cs="Times New Roman"/>
                                <w:sz w:val="24"/>
                              </w:rPr>
                            </w:pPr>
                            <w:r w:rsidRPr="00DA114C">
                              <w:rPr>
                                <w:rFonts w:ascii="Times New Roman" w:hAnsi="Times New Roman" w:cs="Times New Roman"/>
                                <w:sz w:val="24"/>
                              </w:rPr>
                              <w:t>X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 o:spid="_x0000_s1026" style="position:absolute;left:0;text-align:left;margin-left:220.65pt;margin-top:10.85pt;width:48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dAIAADYFAAAOAAAAZHJzL2Uyb0RvYy54bWysVEtv2zAMvg/YfxB0X+0YaboGdYqgRYcB&#10;RVv0gZ4VWUqMyaJGKbGzXz9Kdtyuy2nYRRbF98ePvrjsGsN2Cn0NtuSTk5wzZSVUtV2X/OX55stX&#10;znwQthIGrCr5Xnl+ufj86aJ1c1XABkylkFEQ6+etK/kmBDfPMi83qhH+BJyypNSAjQgk4jqrULQU&#10;vTFZkeezrAWsHIJU3tPrda/kixRfayXDvdZeBWZKTrWFdGI6V/HMFhdivkbhNrUcyhD/UEUjaktJ&#10;x1DXIgi2xfqvUE0tETzocCKhyUDrWqrUA3UzyT9087QRTqVeCBzvRpj8/wsr73YPyOqq5FOalBUN&#10;zeiRUBN2bRSjNwKodX5Odk/uAQfJ0zV222ls4pf6YF0CdT+CqrrAJD3O8vNZTtBLUhVns6I4jTGz&#10;N2eHPnxT0LB4KTlS9gSl2N360JseTGIuY+Np4aY2ptfGlywW2ZeVbmFvVG/9qDT1R4UUKWpilroy&#10;yHaCOCGkVDbMhpKMJevopin46Dg55mjCZHAabKObSowbHfNjjn9mHD1SVrBhdG5qC3gsQPVjzNzb&#10;H7rve47th27VDaNaQbWnCSP01PdO3tSE863w4UEgcZ1GQ/sb7unQBtqSw3DjbAP469h7tCcKkpaz&#10;lnan5P7nVqDizHy3RM7zyXQaly0J09OzggR8r1m919htcwU0ign9KZxM12gfzOGqEZpXWvNlzEoq&#10;YSXlLrkMeBCuQr/T9KOQarlMZrRgToRb++RkDB4Bjjx67l4FuoFsgVh6B4c9E/MPnOtto6eF5TaA&#10;rhMhI8Q9rgP0tJyJ0sOPJG7/ezlZvf3uFr8BAAD//wMAUEsDBBQABgAIAAAAIQAU/C8N4AAAAAkB&#10;AAAPAAAAZHJzL2Rvd25yZXYueG1sTI9NT8MwDIbvSPyHyEjcWPq1FZWmE5qYOHBAFJA4Zo3XFhqn&#10;a7Kt/HvMCY62H71+3nI920GccPK9IwXxIgKB1DjTU6vg7XV7cwvCB01GD45QwTd6WFeXF6UujDvT&#10;C57q0AoOIV9oBV0IYyGlbzq02i/ciMS3vZusDjxOrTSTPnO4HWQSRStpdU/8odMjbjpsvuqjVfD0&#10;aQ5Z+/HwnPb5Jn8/ZI/1dp8qdX0139+BCDiHPxh+9VkdKnbauSMZLwYFWRanjCpI4hwEA8s058VO&#10;wWqZgKxK+b9B9QMAAP//AwBQSwECLQAUAAYACAAAACEAtoM4kv4AAADhAQAAEwAAAAAAAAAAAAAA&#10;AAAAAAAAW0NvbnRlbnRfVHlwZXNdLnhtbFBLAQItABQABgAIAAAAIQA4/SH/1gAAAJQBAAALAAAA&#10;AAAAAAAAAAAAAC8BAABfcmVscy8ucmVsc1BLAQItABQABgAIAAAAIQDK+/GQdAIAADYFAAAOAAAA&#10;AAAAAAAAAAAAAC4CAABkcnMvZTJvRG9jLnhtbFBLAQItABQABgAIAAAAIQAU/C8N4AAAAAkBAAAP&#10;AAAAAAAAAAAAAAAAAM4EAABkcnMvZG93bnJldi54bWxQSwUGAAAAAAQABADzAAAA2wUAAAAA&#10;" fillcolor="white [3201]" stroked="f" strokeweight="1pt">
                <v:textbox>
                  <w:txbxContent>
                    <w:p w:rsidR="00DA114C" w:rsidRPr="00DA114C" w:rsidRDefault="00DA114C" w:rsidP="00DA114C">
                      <w:pPr>
                        <w:jc w:val="center"/>
                        <w:rPr>
                          <w:rFonts w:ascii="Times New Roman" w:hAnsi="Times New Roman" w:cs="Times New Roman"/>
                          <w:sz w:val="24"/>
                        </w:rPr>
                      </w:pPr>
                      <w:r w:rsidRPr="00DA114C">
                        <w:rPr>
                          <w:rFonts w:ascii="Times New Roman" w:hAnsi="Times New Roman" w:cs="Times New Roman"/>
                          <w:sz w:val="24"/>
                        </w:rPr>
                        <w:t>X 100</w:t>
                      </w:r>
                    </w:p>
                  </w:txbxContent>
                </v:textbox>
              </v:rect>
            </w:pict>
          </mc:Fallback>
        </mc:AlternateContent>
      </w:r>
      <w:r>
        <w:rPr>
          <w:rFonts w:ascii="Times New Roman" w:hAnsi="Times New Roman" w:cs="Times New Roman"/>
          <w:noProof/>
          <w:sz w:val="24"/>
          <w:szCs w:val="24"/>
          <w:lang w:val="en-IN" w:eastAsia="en-IN"/>
        </w:rPr>
        <mc:AlternateContent>
          <mc:Choice Requires="wps">
            <w:drawing>
              <wp:anchor distT="0" distB="0" distL="114300" distR="114300" simplePos="0" relativeHeight="251660288" behindDoc="0" locked="0" layoutInCell="1" allowOverlap="1">
                <wp:simplePos x="0" y="0"/>
                <wp:positionH relativeFrom="column">
                  <wp:posOffset>887730</wp:posOffset>
                </wp:positionH>
                <wp:positionV relativeFrom="paragraph">
                  <wp:posOffset>299720</wp:posOffset>
                </wp:positionV>
                <wp:extent cx="18288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4D3F8B" id="Straight Connector 4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9pt,23.6pt" to="213.9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Q9tQEAALkDAAAOAAAAZHJzL2Uyb0RvYy54bWysU8GOEzEMvSPxD1HudKYVgmrU6R66gguC&#10;ioUPyGacTkQSR07otH+Pk7azaEEIIS6eOPZ79nM8m7uTd+IIlCyGXi4XrRQQNA42HHr59cu7V2sp&#10;UlZhUA4D9PIMSd5tX77YTLGDFY7oBiDBJCF1U+zlmHPsmibpEbxKC4wQOGiQvMrs0qEZSE3M7l2z&#10;ats3zYQ0REINKfHt/SUot5XfGND5kzEJsnC95N5ytVTtY7HNdqO6A6k4Wn1tQ/1DF17ZwEVnqnuV&#10;lfhO9hcqbzVhQpMXGn2DxlgNVQOrWbbP1DyMKkLVwsNJcR5T+n+0+uNxT8IOvXz9VoqgPL/RQyZl&#10;D2MWOwyBJ4gkOMiTmmLqGLALe7p6Ke6pyD4Z8uXLgsSpTvc8TxdOWWi+XK5X63XLj6BvseYJGCnl&#10;94BelEMvnQ1FuOrU8UPKXIxTbynslEYupespnx2UZBc+g2ExpVhF1zWCnSNxVLwAw7dlkcFcNbNA&#10;jHVuBrV/Bl1zCwzqav0tcM6uFTHkGehtQPpd1Xy6tWou+TfVF61F9iMO5/oQdRy8H1XZdZfLAv7s&#10;V/jTH7f9AQAA//8DAFBLAwQUAAYACAAAACEAB79AYN0AAAAJAQAADwAAAGRycy9kb3ducmV2Lnht&#10;bEyPwU7DMBBE70j8g7VI3KhDqFqaxqmqSghxQTSFuxu7TsBeR7aThr9nEYdynNnR7JtyMznLRh1i&#10;51HA/SwDprHxqkMj4P3wdPcILCaJSlqPWsC3jrCprq9KWSh/xr0e62QYlWAspIA2pb7gPDatdjLO&#10;fK+RbicfnEwkg+EqyDOVO8vzLFtwJzukD63s9a7VzVc9OAH2JYwfZme2cXjeL+rPt1P+ehiFuL2Z&#10;tmtgSU/pEoZffEKHipiOfkAVmSX9sCL0JGC+zIFRYJ4vyTj+Gbwq+f8F1Q8AAAD//wMAUEsBAi0A&#10;FAAGAAgAAAAhALaDOJL+AAAA4QEAABMAAAAAAAAAAAAAAAAAAAAAAFtDb250ZW50X1R5cGVzXS54&#10;bWxQSwECLQAUAAYACAAAACEAOP0h/9YAAACUAQAACwAAAAAAAAAAAAAAAAAvAQAAX3JlbHMvLnJl&#10;bHNQSwECLQAUAAYACAAAACEAMk6UPbUBAAC5AwAADgAAAAAAAAAAAAAAAAAuAgAAZHJzL2Uyb0Rv&#10;Yy54bWxQSwECLQAUAAYACAAAACEAB79AYN0AAAAJAQAADwAAAAAAAAAAAAAAAAAPBAAAZHJzL2Rv&#10;d25yZXYueG1sUEsFBgAAAAAEAAQA8wAAABkFAAAAAA==&#10;" strokecolor="black [3200]" strokeweight=".5pt">
                <v:stroke joinstyle="miter"/>
              </v:line>
            </w:pict>
          </mc:Fallback>
        </mc:AlternateContent>
      </w:r>
      <w:r w:rsidR="00C736E4" w:rsidRPr="00635B72">
        <w:rPr>
          <w:rFonts w:ascii="Times New Roman" w:hAnsi="Times New Roman" w:cs="Times New Roman"/>
          <w:sz w:val="24"/>
          <w:szCs w:val="24"/>
        </w:rPr>
        <w:t>Percentage</w:t>
      </w:r>
      <w:r>
        <w:rPr>
          <w:rFonts w:ascii="Times New Roman" w:hAnsi="Times New Roman" w:cs="Times New Roman"/>
          <w:sz w:val="24"/>
          <w:szCs w:val="24"/>
        </w:rPr>
        <w:t xml:space="preserve"> </w:t>
      </w:r>
      <w:r w:rsidR="00C736E4" w:rsidRPr="00635B72">
        <w:rPr>
          <w:rFonts w:ascii="Times New Roman" w:hAnsi="Times New Roman" w:cs="Times New Roman"/>
          <w:sz w:val="24"/>
          <w:szCs w:val="24"/>
        </w:rPr>
        <w:t>=</w:t>
      </w:r>
      <w:r>
        <w:rPr>
          <w:rFonts w:ascii="Times New Roman" w:hAnsi="Times New Roman" w:cs="Times New Roman"/>
          <w:sz w:val="24"/>
          <w:szCs w:val="24"/>
        </w:rPr>
        <w:t xml:space="preserve">  </w:t>
      </w:r>
      <w:r w:rsidR="00C736E4" w:rsidRPr="00635B72">
        <w:rPr>
          <w:rFonts w:ascii="Times New Roman" w:hAnsi="Times New Roman" w:cs="Times New Roman"/>
          <w:sz w:val="24"/>
          <w:szCs w:val="24"/>
        </w:rPr>
        <w:t>Total Number of Respondents</w:t>
      </w:r>
    </w:p>
    <w:p w:rsidR="00C736E4" w:rsidRPr="00635B72" w:rsidRDefault="00DA114C" w:rsidP="00DA114C">
      <w:pPr>
        <w:spacing w:before="24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736E4" w:rsidRPr="00635B72">
        <w:rPr>
          <w:rFonts w:ascii="Times New Roman" w:hAnsi="Times New Roman" w:cs="Times New Roman"/>
          <w:sz w:val="24"/>
          <w:szCs w:val="24"/>
        </w:rPr>
        <w:t>Number of Respondents</w:t>
      </w:r>
      <w:r>
        <w:rPr>
          <w:rFonts w:ascii="Times New Roman" w:hAnsi="Times New Roman" w:cs="Times New Roman"/>
          <w:sz w:val="24"/>
          <w:szCs w:val="24"/>
        </w:rPr>
        <w:t xml:space="preserve">  </w:t>
      </w:r>
    </w:p>
    <w:p w:rsidR="001C46C4" w:rsidRPr="00635B72" w:rsidRDefault="001C46C4" w:rsidP="001C46C4">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2. Chi - Square test</w:t>
      </w:r>
    </w:p>
    <w:p w:rsidR="001C46C4" w:rsidRPr="00635B72" w:rsidRDefault="001C46C4" w:rsidP="001C46C4">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Chi-square test is a statistical tool used to identify the relationship between two categorical variables.In this study, the Chi-square test was used to identify the relationship between selected variables related to mutual fund investment behaviour.</w:t>
      </w:r>
    </w:p>
    <w:p w:rsidR="001C46C4" w:rsidRPr="00635B72" w:rsidRDefault="001C46C4" w:rsidP="001C46C4">
      <w:pPr>
        <w:spacing w:before="240" w:line="360" w:lineRule="auto"/>
        <w:jc w:val="both"/>
        <w:rPr>
          <w:rFonts w:ascii="Times New Roman" w:hAnsi="Times New Roman" w:cs="Times New Roman"/>
          <w:sz w:val="28"/>
          <w:szCs w:val="24"/>
        </w:rPr>
      </w:pPr>
      <w:r w:rsidRPr="00635B72">
        <w:rPr>
          <w:rFonts w:ascii="Times New Roman" w:hAnsi="Times New Roman" w:cs="Times New Roman"/>
          <w:sz w:val="24"/>
          <w:szCs w:val="24"/>
        </w:rPr>
        <w:t>Formula:</w:t>
      </w:r>
    </w:p>
    <w:p w:rsidR="001C46C4" w:rsidRPr="00635B72" w:rsidRDefault="001C46C4" w:rsidP="001C46C4">
      <w:pPr>
        <w:spacing w:before="240" w:line="360" w:lineRule="auto"/>
        <w:jc w:val="both"/>
        <w:rPr>
          <w:rFonts w:ascii="Times New Roman" w:hAnsi="Times New Roman" w:cs="Times New Roman"/>
          <w:sz w:val="28"/>
          <w:szCs w:val="24"/>
        </w:rPr>
      </w:pPr>
      <w:r w:rsidRPr="00635B72">
        <w:rPr>
          <w:rFonts w:ascii="Times New Roman" w:hAnsi="Times New Roman" w:cs="Times New Roman"/>
          <w:sz w:val="24"/>
        </w:rPr>
        <w:t>χ² = ∑ (O − E)² / E</w:t>
      </w:r>
    </w:p>
    <w:p w:rsidR="001C46C4" w:rsidRPr="00635B72" w:rsidRDefault="001C46C4" w:rsidP="001C46C4">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3. ANOVA (Analysis of Variance)</w:t>
      </w:r>
    </w:p>
    <w:p w:rsidR="001C46C4" w:rsidRPr="00635B72" w:rsidRDefault="001C46C4" w:rsidP="001C46C4">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ANOVA is a statistical tool used to determine whether there is a significant difference between the means of different groups. In this study, ANOVA was used to analyze the significant difference in the influence of various factors on mutual fund investment decisions.</w:t>
      </w:r>
    </w:p>
    <w:p w:rsidR="001C46C4" w:rsidRPr="00635B72" w:rsidRDefault="001C46C4" w:rsidP="001C46C4">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Formula:</w:t>
      </w:r>
    </w:p>
    <w:p w:rsidR="00AF6DB7" w:rsidRPr="00635B72" w:rsidRDefault="00AF6DB7" w:rsidP="00AF6DB7">
      <w:pPr>
        <w:pStyle w:val="NoSpacing"/>
        <w:spacing w:line="360" w:lineRule="auto"/>
        <w:rPr>
          <w:rFonts w:ascii="Times New Roman" w:hAnsi="Times New Roman" w:cs="Times New Roman"/>
          <w:sz w:val="28"/>
          <w:szCs w:val="24"/>
        </w:rPr>
      </w:pPr>
      <w:r w:rsidRPr="00635B72">
        <w:rPr>
          <w:rFonts w:ascii="Times New Roman" w:hAnsi="Times New Roman" w:cs="Times New Roman"/>
          <w:noProof/>
          <w:sz w:val="24"/>
          <w:lang w:val="en-IN" w:eastAsia="en-IN"/>
        </w:rPr>
        <mc:AlternateContent>
          <mc:Choice Requires="wps">
            <w:drawing>
              <wp:anchor distT="0" distB="0" distL="114300" distR="114300" simplePos="0" relativeHeight="251659264" behindDoc="0" locked="0" layoutInCell="1" allowOverlap="1">
                <wp:simplePos x="0" y="0"/>
                <wp:positionH relativeFrom="column">
                  <wp:posOffset>250977</wp:posOffset>
                </wp:positionH>
                <wp:positionV relativeFrom="paragraph">
                  <wp:posOffset>236438</wp:posOffset>
                </wp:positionV>
                <wp:extent cx="586853" cy="0"/>
                <wp:effectExtent l="0" t="0" r="22860" b="19050"/>
                <wp:wrapNone/>
                <wp:docPr id="46" name="Straight Connector 46"/>
                <wp:cNvGraphicFramePr/>
                <a:graphic xmlns:a="http://schemas.openxmlformats.org/drawingml/2006/main">
                  <a:graphicData uri="http://schemas.microsoft.com/office/word/2010/wordprocessingShape">
                    <wps:wsp>
                      <wps:cNvCnPr/>
                      <wps:spPr>
                        <a:xfrm>
                          <a:off x="0" y="0"/>
                          <a:ext cx="5868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9D73A" id="Straight Connector 4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75pt,18.6pt" to="65.9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RNgtwEAALgDAAAOAAAAZHJzL2Uyb0RvYy54bWysU8GOEzEMvSPxD1HudNqFrapRp3voCi4I&#10;KhY+IJtxOtEmceSETvv3OGk7iwAhhPbiiWO/Zz/Hs747eicOQMli6ORiNpcCgsbehn0nv319/2Yl&#10;Rcoq9MphgE6eIMm7zetX6zG2cIMDuh5IMElI7Rg7OeQc26ZJegCv0gwjBA4aJK8yu7RvelIjs3vX&#10;3Mzny2ZE6iOhhpT49v4clJvKbwzo/NmYBFm4TnJvuVqq9rHYZrNW7Z5UHKy+tKH+owuvbOCiE9W9&#10;ykp8J/sblbeaMKHJM42+QWOshqqB1Szmv6h5GFSEqoWHk+I0pvRytPrTYUfC9p18t5QiKM9v9JBJ&#10;2f2QxRZD4AkiCQ7ypMaYWgZsw44uXoo7KrKPhnz5siBxrNM9TdOFYxaaL29Xy9XtWyn0NdQ84yKl&#10;/AHQi3LopLOh6FatOnxMmWtx6jWFndLHuXI95ZODkuzCFzCshWstKrpuEWwdiYPi9++fFkUFc9XM&#10;AjHWuQk0/zvokltgUDfrX4FTdq2IIU9AbwPSn6rm47VVc86/qj5rLbIfsT/Vd6jj4PWoyi6rXPbv&#10;Z7/Cn3+4zQ8AAAD//wMAUEsDBBQABgAIAAAAIQAacOuy3QAAAAgBAAAPAAAAZHJzL2Rvd25yZXYu&#10;eG1sTI/BTsMwEETvSPyDtUjcqNNUFBriVFUlhLggmsLdjbdOwF5HtpOGv8cVh3Ja7c5o9k25nqxh&#10;I/rQORIwn2XAkBqnOtICPvbPd4/AQpSkpHGEAn4wwLq6viplodyJdjjWUbMUQqGQAtoY+4Lz0LRo&#10;ZZi5HilpR+etjGn1misvTyncGp5n2ZJb2VH60Moety023/VgBZhXP37qrd6E4WW3rL/ej/nbfhTi&#10;9mbaPAGLOMWLGc74CR2qxHRwA6nAjIDF6j4503zIgZ31xXwF7PB34FXJ/xeofgEAAP//AwBQSwEC&#10;LQAUAAYACAAAACEAtoM4kv4AAADhAQAAEwAAAAAAAAAAAAAAAAAAAAAAW0NvbnRlbnRfVHlwZXNd&#10;LnhtbFBLAQItABQABgAIAAAAIQA4/SH/1gAAAJQBAAALAAAAAAAAAAAAAAAAAC8BAABfcmVscy8u&#10;cmVsc1BLAQItABQABgAIAAAAIQCndRNgtwEAALgDAAAOAAAAAAAAAAAAAAAAAC4CAABkcnMvZTJv&#10;RG9jLnhtbFBLAQItABQABgAIAAAAIQAacOuy3QAAAAgBAAAPAAAAAAAAAAAAAAAAABEEAABkcnMv&#10;ZG93bnJldi54bWxQSwUGAAAAAAQABADzAAAAGwUAAAAA&#10;" strokecolor="black [3200]" strokeweight=".5pt">
                <v:stroke joinstyle="miter"/>
              </v:line>
            </w:pict>
          </mc:Fallback>
        </mc:AlternateContent>
      </w:r>
      <w:r w:rsidRPr="00635B72">
        <w:rPr>
          <w:rStyle w:val="mord"/>
          <w:rFonts w:ascii="Times New Roman" w:hAnsi="Times New Roman" w:cs="Times New Roman"/>
          <w:sz w:val="24"/>
        </w:rPr>
        <w:t xml:space="preserve">F </w:t>
      </w:r>
      <w:r w:rsidRPr="00635B72">
        <w:rPr>
          <w:rStyle w:val="mrel"/>
          <w:rFonts w:ascii="Times New Roman" w:hAnsi="Times New Roman" w:cs="Times New Roman"/>
          <w:sz w:val="24"/>
        </w:rPr>
        <w:t xml:space="preserve">= </w:t>
      </w:r>
      <w:r w:rsidRPr="00635B72">
        <w:rPr>
          <w:rStyle w:val="mord"/>
          <w:rFonts w:ascii="Times New Roman" w:hAnsi="Times New Roman" w:cs="Times New Roman"/>
          <w:sz w:val="24"/>
        </w:rPr>
        <w:t>M S</w:t>
      </w:r>
      <w:r w:rsidRPr="00635B72">
        <w:rPr>
          <w:rStyle w:val="mord"/>
          <w:rFonts w:ascii="Times New Roman" w:hAnsi="Times New Roman" w:cs="Times New Roman"/>
          <w:sz w:val="24"/>
          <w:vertAlign w:val="subscript"/>
        </w:rPr>
        <w:t>between</w:t>
      </w:r>
      <w:r w:rsidRPr="00635B72">
        <w:rPr>
          <w:rStyle w:val="vlist-s"/>
          <w:rFonts w:ascii="Times New Roman" w:hAnsi="Times New Roman" w:cs="Times New Roman"/>
          <w:sz w:val="24"/>
          <w:vertAlign w:val="subscript"/>
        </w:rPr>
        <w:t>​​</w:t>
      </w:r>
    </w:p>
    <w:p w:rsidR="00AF6DB7" w:rsidRPr="00635B72" w:rsidRDefault="00AF6DB7" w:rsidP="00AF6DB7">
      <w:pPr>
        <w:pStyle w:val="NoSpacing"/>
        <w:spacing w:line="360" w:lineRule="auto"/>
        <w:rPr>
          <w:rStyle w:val="vlist-s"/>
          <w:rFonts w:ascii="Times New Roman" w:hAnsi="Times New Roman" w:cs="Times New Roman"/>
          <w:sz w:val="24"/>
        </w:rPr>
      </w:pPr>
      <w:r w:rsidRPr="00635B72">
        <w:rPr>
          <w:rStyle w:val="mord"/>
          <w:rFonts w:ascii="Times New Roman" w:hAnsi="Times New Roman" w:cs="Times New Roman"/>
          <w:sz w:val="24"/>
        </w:rPr>
        <w:t xml:space="preserve">       M S</w:t>
      </w:r>
      <w:r w:rsidRPr="00635B72">
        <w:rPr>
          <w:rStyle w:val="mord"/>
          <w:rFonts w:ascii="Times New Roman" w:hAnsi="Times New Roman" w:cs="Times New Roman"/>
          <w:sz w:val="24"/>
          <w:vertAlign w:val="subscript"/>
        </w:rPr>
        <w:t>within</w:t>
      </w:r>
      <w:r w:rsidRPr="00635B72">
        <w:rPr>
          <w:rStyle w:val="vlist-s"/>
          <w:rFonts w:ascii="Times New Roman" w:hAnsi="Times New Roman" w:cs="Times New Roman"/>
          <w:sz w:val="24"/>
          <w:vertAlign w:val="subscript"/>
        </w:rPr>
        <w:t>​</w:t>
      </w:r>
    </w:p>
    <w:p w:rsidR="00861804" w:rsidRPr="00635B72" w:rsidRDefault="00861804" w:rsidP="00861804">
      <w:pPr>
        <w:pStyle w:val="ListParagraph"/>
        <w:spacing w:before="240" w:line="360" w:lineRule="auto"/>
        <w:ind w:left="375"/>
        <w:jc w:val="both"/>
        <w:rPr>
          <w:rFonts w:ascii="Times New Roman" w:hAnsi="Times New Roman" w:cs="Times New Roman"/>
          <w:b/>
          <w:bCs/>
          <w:sz w:val="28"/>
          <w:szCs w:val="28"/>
        </w:rPr>
      </w:pPr>
    </w:p>
    <w:p w:rsidR="00861804" w:rsidRPr="00635B72" w:rsidRDefault="00861804" w:rsidP="00861804">
      <w:pPr>
        <w:pStyle w:val="ListParagraph"/>
        <w:spacing w:before="240" w:line="360" w:lineRule="auto"/>
        <w:ind w:left="375"/>
        <w:jc w:val="both"/>
        <w:rPr>
          <w:rFonts w:ascii="Times New Roman" w:hAnsi="Times New Roman" w:cs="Times New Roman"/>
          <w:b/>
          <w:bCs/>
          <w:sz w:val="28"/>
          <w:szCs w:val="28"/>
        </w:rPr>
      </w:pPr>
    </w:p>
    <w:p w:rsidR="00861804" w:rsidRPr="00635B72" w:rsidRDefault="00861804" w:rsidP="00861804">
      <w:pPr>
        <w:pStyle w:val="ListParagraph"/>
        <w:spacing w:before="240" w:line="360" w:lineRule="auto"/>
        <w:ind w:left="375"/>
        <w:jc w:val="both"/>
        <w:rPr>
          <w:rFonts w:ascii="Times New Roman" w:hAnsi="Times New Roman" w:cs="Times New Roman"/>
          <w:b/>
          <w:bCs/>
          <w:sz w:val="28"/>
          <w:szCs w:val="28"/>
        </w:rPr>
      </w:pPr>
    </w:p>
    <w:p w:rsidR="006C069E" w:rsidRPr="00635B72" w:rsidRDefault="00AF3CE0" w:rsidP="00EF2314">
      <w:pPr>
        <w:pStyle w:val="ListParagraph"/>
        <w:numPr>
          <w:ilvl w:val="1"/>
          <w:numId w:val="19"/>
        </w:num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t>LIMITATION OF THE STUDY</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study is limited to mutual fund investors associated with Geojit Financial Services. </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 xml:space="preserve">The sample size is limited to </w:t>
      </w:r>
      <w:r w:rsidR="00947861" w:rsidRPr="00635B72">
        <w:rPr>
          <w:rFonts w:ascii="Times New Roman" w:hAnsi="Times New Roman" w:cs="Times New Roman"/>
          <w:sz w:val="24"/>
          <w:szCs w:val="24"/>
        </w:rPr>
        <w:t>10</w:t>
      </w:r>
      <w:r w:rsidRPr="00635B72">
        <w:rPr>
          <w:rFonts w:ascii="Times New Roman" w:hAnsi="Times New Roman" w:cs="Times New Roman"/>
          <w:sz w:val="24"/>
          <w:szCs w:val="24"/>
        </w:rPr>
        <w:t xml:space="preserve">0 respondents, so the findings may not represent the opinion of all mutual fund investors. </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study is based on the responses given by the respondents, so there may be personal bias. </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Some respondents may not provide accurate or complete information due to lack of time or knowledge. </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study focuses only on mutual fund investment behaviour and does not cover other investment avenues in detail. </w:t>
      </w:r>
    </w:p>
    <w:p w:rsidR="00C736E4" w:rsidRPr="00635B72" w:rsidRDefault="00C736E4" w:rsidP="00275966">
      <w:pPr>
        <w:pStyle w:val="ListParagraph"/>
        <w:numPr>
          <w:ilvl w:val="0"/>
          <w:numId w:val="2"/>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study is conducted within a limited time period.</w:t>
      </w:r>
    </w:p>
    <w:p w:rsidR="00D806AD" w:rsidRPr="00635B72" w:rsidRDefault="00AF3CE0" w:rsidP="00275966">
      <w:pPr>
        <w:spacing w:before="240" w:line="360" w:lineRule="auto"/>
        <w:jc w:val="both"/>
        <w:rPr>
          <w:rFonts w:ascii="Times New Roman" w:eastAsia="Times New Roman" w:hAnsi="Times New Roman" w:cs="Times New Roman"/>
          <w:sz w:val="28"/>
          <w:szCs w:val="28"/>
        </w:rPr>
      </w:pPr>
      <w:r w:rsidRPr="00635B72">
        <w:rPr>
          <w:rFonts w:ascii="Times New Roman" w:hAnsi="Times New Roman" w:cs="Times New Roman"/>
          <w:b/>
          <w:bCs/>
          <w:sz w:val="28"/>
          <w:szCs w:val="28"/>
        </w:rPr>
        <w:t>1.8 CHAPTER SCHEME</w:t>
      </w:r>
    </w:p>
    <w:p w:rsidR="00D806AD" w:rsidRPr="00635B72" w:rsidRDefault="00D806AD"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t xml:space="preserve">The report is divided into </w:t>
      </w:r>
      <w:r w:rsidR="004319A4" w:rsidRPr="00635B72">
        <w:rPr>
          <w:rFonts w:ascii="Times New Roman" w:hAnsi="Times New Roman" w:cs="Times New Roman"/>
          <w:sz w:val="24"/>
          <w:szCs w:val="24"/>
        </w:rPr>
        <w:t>6</w:t>
      </w:r>
      <w:r w:rsidRPr="00635B72">
        <w:rPr>
          <w:rFonts w:ascii="Times New Roman" w:hAnsi="Times New Roman" w:cs="Times New Roman"/>
          <w:sz w:val="24"/>
          <w:szCs w:val="24"/>
        </w:rPr>
        <w:t xml:space="preserve"> chapters:</w:t>
      </w:r>
    </w:p>
    <w:p w:rsidR="00743806" w:rsidRPr="00635B72" w:rsidRDefault="004D6214"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Chapter</w:t>
      </w:r>
      <w:r w:rsidR="00D806AD" w:rsidRPr="00635B72">
        <w:rPr>
          <w:rFonts w:ascii="Times New Roman" w:hAnsi="Times New Roman" w:cs="Times New Roman"/>
          <w:b/>
          <w:bCs/>
          <w:sz w:val="24"/>
          <w:szCs w:val="24"/>
        </w:rPr>
        <w:t xml:space="preserve"> 1: </w:t>
      </w:r>
      <w:r w:rsidRPr="00635B72">
        <w:rPr>
          <w:rFonts w:ascii="Times New Roman" w:hAnsi="Times New Roman" w:cs="Times New Roman"/>
          <w:b/>
          <w:bCs/>
          <w:sz w:val="24"/>
          <w:szCs w:val="24"/>
        </w:rPr>
        <w:t xml:space="preserve">Introduction </w:t>
      </w:r>
    </w:p>
    <w:p w:rsidR="00D806AD" w:rsidRPr="00635B72" w:rsidRDefault="00D806A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It</w:t>
      </w:r>
      <w:r w:rsidR="00081970" w:rsidRPr="00635B72">
        <w:rPr>
          <w:rFonts w:ascii="Times New Roman" w:hAnsi="Times New Roman" w:cs="Times New Roman"/>
          <w:sz w:val="24"/>
          <w:szCs w:val="24"/>
        </w:rPr>
        <w:t xml:space="preserve"> </w:t>
      </w:r>
      <w:r w:rsidR="00FA502D" w:rsidRPr="00635B72">
        <w:rPr>
          <w:rFonts w:ascii="Times New Roman" w:hAnsi="Times New Roman" w:cs="Times New Roman"/>
          <w:sz w:val="24"/>
          <w:szCs w:val="24"/>
        </w:rPr>
        <w:t>includes</w:t>
      </w:r>
      <w:r w:rsidRPr="00635B72">
        <w:rPr>
          <w:rFonts w:ascii="Times New Roman" w:hAnsi="Times New Roman" w:cs="Times New Roman"/>
          <w:sz w:val="24"/>
          <w:szCs w:val="24"/>
        </w:rPr>
        <w:t xml:space="preserve"> introduction to the project report and some information about the company and also the statement of the problem, scope of the study, objectives of the study, research methodology- this comprises of sample design and size, data source, tools used for analysis. </w:t>
      </w:r>
    </w:p>
    <w:p w:rsidR="00743806" w:rsidRPr="00635B72" w:rsidRDefault="00E1609B"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Chapter I</w:t>
      </w:r>
      <w:r w:rsidR="004D6214" w:rsidRPr="00635B72">
        <w:rPr>
          <w:rFonts w:ascii="Times New Roman" w:hAnsi="Times New Roman" w:cs="Times New Roman"/>
          <w:b/>
          <w:bCs/>
          <w:sz w:val="24"/>
          <w:szCs w:val="24"/>
        </w:rPr>
        <w:t>I</w:t>
      </w:r>
      <w:r w:rsidRPr="00635B72">
        <w:rPr>
          <w:rFonts w:ascii="Times New Roman" w:hAnsi="Times New Roman" w:cs="Times New Roman"/>
          <w:b/>
          <w:bCs/>
          <w:sz w:val="24"/>
          <w:szCs w:val="24"/>
        </w:rPr>
        <w:t xml:space="preserve">: Review </w:t>
      </w:r>
      <w:r w:rsidR="0029118C" w:rsidRPr="00635B72">
        <w:rPr>
          <w:rFonts w:ascii="Times New Roman" w:hAnsi="Times New Roman" w:cs="Times New Roman"/>
          <w:b/>
          <w:bCs/>
          <w:sz w:val="24"/>
          <w:szCs w:val="24"/>
        </w:rPr>
        <w:t>of</w:t>
      </w:r>
      <w:r w:rsidRPr="00635B72">
        <w:rPr>
          <w:rFonts w:ascii="Times New Roman" w:hAnsi="Times New Roman" w:cs="Times New Roman"/>
          <w:b/>
          <w:bCs/>
          <w:sz w:val="24"/>
          <w:szCs w:val="24"/>
        </w:rPr>
        <w:t xml:space="preserve"> Literature </w:t>
      </w:r>
    </w:p>
    <w:p w:rsidR="000C4D84" w:rsidRPr="00635B72" w:rsidRDefault="00D806A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This chapter represents the review of literature relating to the topic selected for the study which portraits more than 25 quotes from the subject of study and also it gives a clear knowledge about the study.</w:t>
      </w:r>
    </w:p>
    <w:p w:rsidR="00743806" w:rsidRPr="00635B72" w:rsidRDefault="00022718"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Chapter</w:t>
      </w:r>
      <w:r w:rsidR="00D806AD" w:rsidRPr="00635B72">
        <w:rPr>
          <w:rFonts w:ascii="Times New Roman" w:hAnsi="Times New Roman" w:cs="Times New Roman"/>
          <w:b/>
          <w:bCs/>
          <w:sz w:val="24"/>
          <w:szCs w:val="24"/>
        </w:rPr>
        <w:t xml:space="preserve"> III</w:t>
      </w:r>
      <w:r w:rsidRPr="00635B72">
        <w:rPr>
          <w:rFonts w:ascii="Times New Roman" w:hAnsi="Times New Roman" w:cs="Times New Roman"/>
          <w:b/>
          <w:bCs/>
          <w:sz w:val="24"/>
          <w:szCs w:val="24"/>
        </w:rPr>
        <w:t xml:space="preserve">: Profile </w:t>
      </w:r>
      <w:r w:rsidR="0029118C" w:rsidRPr="00635B72">
        <w:rPr>
          <w:rFonts w:ascii="Times New Roman" w:hAnsi="Times New Roman" w:cs="Times New Roman"/>
          <w:b/>
          <w:bCs/>
          <w:sz w:val="24"/>
          <w:szCs w:val="24"/>
        </w:rPr>
        <w:t>of</w:t>
      </w:r>
      <w:r w:rsidRPr="00635B72">
        <w:rPr>
          <w:rFonts w:ascii="Times New Roman" w:hAnsi="Times New Roman" w:cs="Times New Roman"/>
          <w:b/>
          <w:bCs/>
          <w:sz w:val="24"/>
          <w:szCs w:val="24"/>
        </w:rPr>
        <w:t xml:space="preserve"> Industry </w:t>
      </w:r>
      <w:r w:rsidR="00337D27" w:rsidRPr="00635B72">
        <w:rPr>
          <w:rFonts w:ascii="Times New Roman" w:hAnsi="Times New Roman" w:cs="Times New Roman"/>
          <w:b/>
          <w:bCs/>
          <w:sz w:val="24"/>
          <w:szCs w:val="24"/>
        </w:rPr>
        <w:t>and</w:t>
      </w:r>
      <w:r w:rsidRPr="00635B72">
        <w:rPr>
          <w:rFonts w:ascii="Times New Roman" w:hAnsi="Times New Roman" w:cs="Times New Roman"/>
          <w:b/>
          <w:bCs/>
          <w:sz w:val="24"/>
          <w:szCs w:val="24"/>
        </w:rPr>
        <w:t xml:space="preserve"> Profile </w:t>
      </w:r>
      <w:r w:rsidR="00337D27" w:rsidRPr="00635B72">
        <w:rPr>
          <w:rFonts w:ascii="Times New Roman" w:hAnsi="Times New Roman" w:cs="Times New Roman"/>
          <w:b/>
          <w:bCs/>
          <w:sz w:val="24"/>
          <w:szCs w:val="24"/>
        </w:rPr>
        <w:t>of</w:t>
      </w:r>
      <w:r w:rsidRPr="00635B72">
        <w:rPr>
          <w:rFonts w:ascii="Times New Roman" w:hAnsi="Times New Roman" w:cs="Times New Roman"/>
          <w:b/>
          <w:bCs/>
          <w:sz w:val="24"/>
          <w:szCs w:val="24"/>
        </w:rPr>
        <w:t xml:space="preserve"> </w:t>
      </w:r>
      <w:r w:rsidR="00137555" w:rsidRPr="00635B72">
        <w:rPr>
          <w:rFonts w:ascii="Times New Roman" w:hAnsi="Times New Roman" w:cs="Times New Roman"/>
          <w:b/>
          <w:bCs/>
          <w:sz w:val="24"/>
          <w:szCs w:val="24"/>
        </w:rPr>
        <w:t>Organization</w:t>
      </w:r>
    </w:p>
    <w:p w:rsidR="00C736E4" w:rsidRPr="00635B72" w:rsidRDefault="00C736E4"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third chapter deals with the profile of the mutual fund industry and the company profile of Geojit Financial Services. It explains the growth and development of the mutual fund industry in India, types of mutual funds, importance of mutual funds, and recent trends in mutual fund investment. The company profile includes the history, services, objectives, products, and role of Geojit Financial Services in providing investment advisory services.</w:t>
      </w:r>
    </w:p>
    <w:p w:rsidR="00861804" w:rsidRPr="00635B72" w:rsidRDefault="00861804" w:rsidP="00275966">
      <w:pPr>
        <w:spacing w:before="240" w:line="360" w:lineRule="auto"/>
        <w:jc w:val="both"/>
        <w:rPr>
          <w:rFonts w:ascii="Times New Roman" w:hAnsi="Times New Roman" w:cs="Times New Roman"/>
          <w:sz w:val="24"/>
          <w:szCs w:val="24"/>
        </w:rPr>
      </w:pPr>
    </w:p>
    <w:p w:rsidR="00C736E4" w:rsidRPr="00635B72" w:rsidRDefault="00022718"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Chapter</w:t>
      </w:r>
      <w:r w:rsidR="00D806AD" w:rsidRPr="00635B72">
        <w:rPr>
          <w:rFonts w:ascii="Times New Roman" w:hAnsi="Times New Roman" w:cs="Times New Roman"/>
          <w:b/>
          <w:bCs/>
          <w:sz w:val="24"/>
          <w:szCs w:val="24"/>
        </w:rPr>
        <w:t xml:space="preserve"> IV</w:t>
      </w:r>
      <w:r w:rsidRPr="00635B72">
        <w:rPr>
          <w:rFonts w:ascii="Times New Roman" w:hAnsi="Times New Roman" w:cs="Times New Roman"/>
          <w:b/>
          <w:bCs/>
          <w:sz w:val="24"/>
          <w:szCs w:val="24"/>
        </w:rPr>
        <w:t xml:space="preserve">: Data Analysis </w:t>
      </w:r>
      <w:r w:rsidR="00337D27" w:rsidRPr="00635B72">
        <w:rPr>
          <w:rFonts w:ascii="Times New Roman" w:hAnsi="Times New Roman" w:cs="Times New Roman"/>
          <w:b/>
          <w:bCs/>
          <w:sz w:val="24"/>
          <w:szCs w:val="24"/>
        </w:rPr>
        <w:t>and</w:t>
      </w:r>
      <w:r w:rsidRPr="00635B72">
        <w:rPr>
          <w:rFonts w:ascii="Times New Roman" w:hAnsi="Times New Roman" w:cs="Times New Roman"/>
          <w:b/>
          <w:bCs/>
          <w:sz w:val="24"/>
          <w:szCs w:val="24"/>
        </w:rPr>
        <w:t xml:space="preserve"> Interpretation </w:t>
      </w:r>
    </w:p>
    <w:p w:rsidR="00D806AD" w:rsidRPr="00635B72" w:rsidRDefault="00D806A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This chapter includes the data analysis and interpretation of data.</w:t>
      </w:r>
    </w:p>
    <w:p w:rsidR="00C736E4" w:rsidRPr="00635B72" w:rsidRDefault="00022718"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Chapter </w:t>
      </w:r>
      <w:r w:rsidR="00D806AD" w:rsidRPr="00635B72">
        <w:rPr>
          <w:rFonts w:ascii="Times New Roman" w:hAnsi="Times New Roman" w:cs="Times New Roman"/>
          <w:b/>
          <w:bCs/>
          <w:sz w:val="24"/>
          <w:szCs w:val="24"/>
        </w:rPr>
        <w:t>V</w:t>
      </w:r>
      <w:r w:rsidRPr="00635B72">
        <w:rPr>
          <w:rFonts w:ascii="Times New Roman" w:hAnsi="Times New Roman" w:cs="Times New Roman"/>
          <w:b/>
          <w:bCs/>
          <w:sz w:val="24"/>
          <w:szCs w:val="24"/>
        </w:rPr>
        <w:t xml:space="preserve">: Findings, </w:t>
      </w:r>
      <w:r w:rsidR="00281440" w:rsidRPr="00635B72">
        <w:rPr>
          <w:rFonts w:ascii="Times New Roman" w:hAnsi="Times New Roman" w:cs="Times New Roman"/>
          <w:b/>
          <w:bCs/>
          <w:sz w:val="24"/>
          <w:szCs w:val="24"/>
        </w:rPr>
        <w:t>Recommendations, a</w:t>
      </w:r>
      <w:r w:rsidRPr="00635B72">
        <w:rPr>
          <w:rFonts w:ascii="Times New Roman" w:hAnsi="Times New Roman" w:cs="Times New Roman"/>
          <w:b/>
          <w:bCs/>
          <w:sz w:val="24"/>
          <w:szCs w:val="24"/>
        </w:rPr>
        <w:t xml:space="preserve">nd Conclusion </w:t>
      </w:r>
    </w:p>
    <w:p w:rsidR="00D806AD" w:rsidRPr="00635B72" w:rsidRDefault="00D806A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This chapter deals with major findings, suggestions, and conclusions of the study</w:t>
      </w:r>
    </w:p>
    <w:p w:rsidR="004319A4" w:rsidRPr="00635B72" w:rsidRDefault="004319A4" w:rsidP="00275966">
      <w:pPr>
        <w:spacing w:before="240" w:line="360" w:lineRule="auto"/>
        <w:ind w:left="360"/>
        <w:jc w:val="both"/>
        <w:rPr>
          <w:rFonts w:ascii="Times New Roman" w:hAnsi="Times New Roman" w:cs="Times New Roman"/>
          <w:b/>
          <w:bCs/>
          <w:sz w:val="24"/>
          <w:szCs w:val="24"/>
        </w:rPr>
      </w:pPr>
    </w:p>
    <w:p w:rsidR="00D806AD" w:rsidRPr="00635B72" w:rsidRDefault="00D806AD" w:rsidP="00275966">
      <w:pPr>
        <w:spacing w:before="240" w:line="360" w:lineRule="auto"/>
        <w:rPr>
          <w:rFonts w:ascii="Times New Roman" w:hAnsi="Times New Roman" w:cs="Times New Roman"/>
          <w:sz w:val="24"/>
          <w:szCs w:val="24"/>
        </w:rPr>
      </w:pPr>
      <w:r w:rsidRPr="00635B72">
        <w:rPr>
          <w:rFonts w:ascii="Times New Roman" w:hAnsi="Times New Roman" w:cs="Times New Roman"/>
          <w:sz w:val="24"/>
          <w:szCs w:val="24"/>
        </w:rPr>
        <w:br w:type="page"/>
      </w:r>
    </w:p>
    <w:p w:rsidR="00D806AD" w:rsidRPr="00635B72" w:rsidRDefault="000C4D84" w:rsidP="00275966">
      <w:pPr>
        <w:spacing w:before="240" w:line="360" w:lineRule="auto"/>
        <w:rPr>
          <w:rFonts w:ascii="Times New Roman" w:hAnsi="Times New Roman" w:cs="Times New Roman"/>
          <w:b/>
          <w:bCs/>
          <w:sz w:val="28"/>
          <w:szCs w:val="28"/>
          <w:lang w:val="en-IN"/>
        </w:rPr>
      </w:pPr>
      <w:r w:rsidRPr="00635B72">
        <w:rPr>
          <w:rFonts w:ascii="Times New Roman" w:hAnsi="Times New Roman" w:cs="Times New Roman"/>
          <w:b/>
          <w:bCs/>
          <w:sz w:val="28"/>
          <w:szCs w:val="28"/>
          <w:lang w:val="en-IN"/>
        </w:rPr>
        <w:lastRenderedPageBreak/>
        <w:t xml:space="preserve">2.1 </w:t>
      </w:r>
      <w:r w:rsidR="00081970" w:rsidRPr="00635B72">
        <w:rPr>
          <w:rFonts w:ascii="Times New Roman" w:hAnsi="Times New Roman" w:cs="Times New Roman"/>
          <w:b/>
          <w:bCs/>
          <w:sz w:val="28"/>
          <w:szCs w:val="28"/>
          <w:lang w:val="en-IN"/>
        </w:rPr>
        <w:t>REVIEW OF LITERATURE</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 Gupta (2000)</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Gupta (2000) studied the investment preferences of individual investors and found that safety, return, liquidity, and tax benefits were the major factors influencing investment decisions. The study observed that investors preferred investment avenues that provided regular income with minimum risk. It also stated that mutual funds were becoming popular among educated investors due to professional management and diversification.</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 Rajeswari and Moorthy (2001)</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Rajeswari and Moorthy (2001) analyzed the attitude of investors towards mutual funds. The study found that investors were influenced by past performance, brand image of the fund house, risk level, and return expectation. It also revealed that lack of awareness was one of the major reasons for hesitation among investors in selecting mutual fund schemes.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3. Madhusudhan and Reddy (2002)</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Madhusudhan and Reddy (2002) examined investor perception towards mutual fund schemes. The study identified that investors preferred mutual funds because of liquidity, professional management, and better returns compared to traditional savings. However, the study also found that many investors were not fully aware of the risk involved in mutual fund investments.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4. Singh and Vanita (2002)</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Singh and Vanita (2002) conducted a study on mutual fund investors and found that investment decisions were highly influenced by income level, education, and investment experience. The study stated that investors with higher education and better income showed more interest in equity-oriented mutual fund schemes.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5. Jambodekar (2003)</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Jambodekar (2003) studied the investment pattern of mutual fund investors and observed that investors considered safety of capital, regular income, and capital appreciation while choosing mutual fund schemes. The study also highlighted that investors expected better communication and transparency from mutual fund companies.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6. Saini, Anjum and Saini (2004)</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Saini, Anjum and Saini (2004) examined investor awareness and preference towards mutual funds. The study found that investors were attracted towards mutual funds due to tax benefits, diversification, and professional management. It also revealed that awareness programmes were necessary to improve investor confidence.</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7. Shanmugham (2005)</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Shanmugham (2005) studied the behavioural aspects of individual investors and found that psychological factors, market information, advice from brokers, and past experience influenced investment decisions. The study concluded that investors were not always rational and their decisions were affected by emotions and market rumours.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8. Desigan, Kalaiselvi and Anusuya (2006)</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Desigan, Kalaiselvi and Anusuya (2006) analyzed women investors’ perception towards investment. The study found that women investors preferred safe investment options such as bank deposits, insurance, and mutual funds. It also stated that risk perception and lack of financial knowledge influenced their investment choices.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9. Kumar and Rajkumar (2007)</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Kumar and Rajkumar (2007) studied investors’ attitude towards mutual funds and found that return, safety, liquidity, and fund performance were the major factors affecting investment decisions. The study also observed that investors preferred mutual funds when they received proper guidance from financial advisors.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10. Chandra (2008)</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Chandra (2008) examined the behavioural finance aspects of investment decision-making. The study found that investors were influenced by factors such as overconfidence, herd behaviour, fear of loss, and past market experience. It concluded that behavioural factors played an important role in mutual fund investment decisions.</w:t>
      </w:r>
    </w:p>
    <w:p w:rsidR="004B230D" w:rsidRPr="00635B72" w:rsidRDefault="004B230D" w:rsidP="00275966">
      <w:pPr>
        <w:spacing w:before="240" w:line="360" w:lineRule="auto"/>
        <w:jc w:val="both"/>
        <w:rPr>
          <w:rFonts w:ascii="Times New Roman" w:hAnsi="Times New Roman" w:cs="Times New Roman"/>
          <w:sz w:val="24"/>
          <w:szCs w:val="24"/>
        </w:rPr>
      </w:pPr>
    </w:p>
    <w:p w:rsidR="004B230D" w:rsidRPr="00635B72" w:rsidRDefault="004B230D" w:rsidP="00275966">
      <w:pPr>
        <w:spacing w:before="240" w:line="360" w:lineRule="auto"/>
        <w:jc w:val="both"/>
        <w:rPr>
          <w:rFonts w:ascii="Times New Roman" w:hAnsi="Times New Roman" w:cs="Times New Roman"/>
          <w:sz w:val="24"/>
          <w:szCs w:val="24"/>
        </w:rPr>
      </w:pP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11. Sharma and Jain (2009)</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Sharma and Jain (2009) studied the awareness level of investors regarding mutual funds. The study revealed that many investors had only basic knowledge about mutual fund schemes. It also found that investors preferred systematic investment plans because they allowed regular investment with small amounts.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12. Parihar, Sharma and Parihar (2009)</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Parihar, Sharma and Parihar (2009) analyzed consumer behaviour towards mutual funds. The study found that investors considered return, risk, liquidity, tax benefits, and fund reputation before investing. It also stated that investors required more information about different mutual fund schemes.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13. Kaur and Kaushik (2010)</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Kaur and Kaushik (2010) studied the determinants of investment behaviour of mutual fund investors. The study found that investors’ decisions were influenced by demographic factors such as age, income, education, occupation, and family size. It also highlighted that investor education played an important role in increasing mutual fund participation.</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14. Walia and Kiran (2011)</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Walia and Kiran (2011) examined investor perception towards mutual funds and found that investors preferred mutual funds because of professional management and diversification. The study also revealed that risk and lack of awareness were the major barriers to mutual fund investment.</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15. Subramanya and Murthy (2013)</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Subramanya and Murthy (2013) studied investor behaviour towards mutual funds and observed that investors were mainly influenced by return expectation, safety, liquidity, and tax benefits. The study concluded that mutual fund companies should provide more investor education and transparent information.</w:t>
      </w:r>
    </w:p>
    <w:p w:rsidR="004B230D" w:rsidRPr="00635B72" w:rsidRDefault="004B230D" w:rsidP="00275966">
      <w:pPr>
        <w:spacing w:before="240" w:line="360" w:lineRule="auto"/>
        <w:jc w:val="both"/>
        <w:rPr>
          <w:rFonts w:ascii="Times New Roman" w:hAnsi="Times New Roman" w:cs="Times New Roman"/>
          <w:sz w:val="24"/>
          <w:szCs w:val="24"/>
        </w:rPr>
      </w:pPr>
    </w:p>
    <w:p w:rsidR="004B230D" w:rsidRPr="00635B72" w:rsidRDefault="004B230D" w:rsidP="00275966">
      <w:pPr>
        <w:spacing w:before="240" w:line="360" w:lineRule="auto"/>
        <w:jc w:val="both"/>
        <w:rPr>
          <w:rFonts w:ascii="Times New Roman" w:hAnsi="Times New Roman" w:cs="Times New Roman"/>
          <w:sz w:val="24"/>
          <w:szCs w:val="24"/>
        </w:rPr>
      </w:pP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16. Singh (2014)</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Singh (2014) analyzed the role of financial literacy in mutual fund investment decisions. The study found that financially literate investors were more confident in selecting suitable mutual fund schemes. It also stated that low financial literacy resulted in poor investment decisions and dependence on others.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17. Ranganathan (2015)</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Ranganathan (2015) studied the investment behaviour of retail investors in mutual funds. The study found that investors preferred mutual funds for long-term wealth creation and tax saving. It also revealed that SIPs were gaining popularity among small investors due to convenience and disciplined savings.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18. Patel and Prajapati (2016)</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Patel and Prajapati (2016) examined the awareness and perception of investors towards mutual funds. The study found that most investors were aware of mutual funds but lacked detailed knowledge about risk, NAV, expense ratio, and fund categories. The study suggested that financial institutions should conduct awareness programmes.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19. Agarwal and Jain (2017)</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Agarwal and Jain (2017) studied factors influencing mutual fund investment decisions. The study found that past performance, fund manager reputation, risk level, return expectation, and advice from financial consultants were major factors affecting investment decisions. It also found that investors preferred schemes with consistent performance.</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20. Kaur and Vohra (2018)</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Kaur and Vohra (2018) analyzed the behaviour of mutual fund investors and found that investors were influenced by both financial and psychological factors. The study stated that fear of market fluctuations, lack of knowledge, and uncertainty affected investment decisions.</w:t>
      </w:r>
    </w:p>
    <w:p w:rsidR="00275966" w:rsidRPr="00635B72" w:rsidRDefault="00275966" w:rsidP="00275966">
      <w:pPr>
        <w:spacing w:before="240" w:line="360" w:lineRule="auto"/>
        <w:jc w:val="both"/>
        <w:rPr>
          <w:rFonts w:ascii="Times New Roman" w:hAnsi="Times New Roman" w:cs="Times New Roman"/>
          <w:sz w:val="24"/>
          <w:szCs w:val="24"/>
        </w:rPr>
      </w:pPr>
    </w:p>
    <w:p w:rsidR="00275966" w:rsidRPr="00635B72" w:rsidRDefault="00275966" w:rsidP="00275966">
      <w:pPr>
        <w:spacing w:before="240" w:line="360" w:lineRule="auto"/>
        <w:jc w:val="both"/>
        <w:rPr>
          <w:rFonts w:ascii="Times New Roman" w:hAnsi="Times New Roman" w:cs="Times New Roman"/>
          <w:sz w:val="24"/>
          <w:szCs w:val="24"/>
        </w:rPr>
      </w:pP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21. Bansal and Sharma (2019)</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Bansal and Sharma (2019) studied investor satisfaction towards mutual fund services. The study found that service quality, transparency, timely information, online facilities, and advisory support influenced investor satisfaction. It also concluded that financial service providers should improve customer support and communication.</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22. Rao and Kumar (2020)</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Rao and Kumar (2020) examined the impact of digital platforms on mutual fund investment behaviour. The study found that online investment platforms increased convenience, accessibility, and investor participation. It also stated that young investors preferred digital channels for investing in mutual funds.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23. Mehta and Shah (2021)</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Mehta and Shah (2021) studied mutual fund investment during uncertain market conditions. The study found that investors became more cautious during market volatility. It also revealed that investors with higher risk tolerance continued their investments through SIPs, while risk-averse investors preferred debt funds.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24. Nair and Thomas (2023)</w:t>
      </w:r>
    </w:p>
    <w:p w:rsidR="004B230D"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Nair and Thomas (2023) analyzed the role of financial advisors in mutual fund investment decisions. The study found that investors depended on advisors for scheme selection, risk assessment, and portfolio review. It also stated that trust and service quality were important factors in maintaining investor relationships.</w:t>
      </w:r>
    </w:p>
    <w:p w:rsidR="004B230D" w:rsidRPr="00635B72" w:rsidRDefault="004B230D"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25. Joseph and Mathew (2025)</w:t>
      </w:r>
    </w:p>
    <w:p w:rsidR="0029118C" w:rsidRPr="00635B72" w:rsidRDefault="004B230D"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Joseph and Mathew (2025) studied the recent trends in mutual fund investment behaviour among retail investors. The study found that SIP investment, digital platforms, goal-based investing, and financial awareness campaigns increased mutual fund participation. It also observed that investors were becoming more conscious about risk, return, and long-term financial planning.</w:t>
      </w:r>
    </w:p>
    <w:p w:rsidR="00C736E4" w:rsidRPr="00635B72" w:rsidRDefault="00C736E4" w:rsidP="00275966">
      <w:pPr>
        <w:spacing w:before="240" w:line="360" w:lineRule="auto"/>
        <w:rPr>
          <w:rFonts w:ascii="Times New Roman" w:hAnsi="Times New Roman" w:cs="Times New Roman"/>
          <w:sz w:val="24"/>
          <w:szCs w:val="24"/>
        </w:rPr>
      </w:pPr>
    </w:p>
    <w:p w:rsidR="006748A5" w:rsidRPr="00635B72" w:rsidRDefault="006748A5" w:rsidP="006748A5">
      <w:pPr>
        <w:spacing w:before="240" w:line="360" w:lineRule="auto"/>
        <w:jc w:val="both"/>
        <w:rPr>
          <w:rFonts w:ascii="Times New Roman" w:eastAsia="Times New Roman" w:hAnsi="Times New Roman" w:cs="Times New Roman"/>
          <w:sz w:val="28"/>
          <w:szCs w:val="24"/>
        </w:rPr>
      </w:pPr>
      <w:r w:rsidRPr="00635B72">
        <w:rPr>
          <w:rFonts w:ascii="Times New Roman" w:eastAsia="Times New Roman" w:hAnsi="Times New Roman" w:cs="Times New Roman"/>
          <w:b/>
          <w:bCs/>
          <w:color w:val="000000" w:themeColor="text1"/>
          <w:sz w:val="28"/>
          <w:szCs w:val="24"/>
        </w:rPr>
        <w:lastRenderedPageBreak/>
        <w:t>3.1 PROFILE OF THE INDUSTRY</w:t>
      </w:r>
    </w:p>
    <w:p w:rsidR="006748A5" w:rsidRPr="00635B72" w:rsidRDefault="006748A5" w:rsidP="006748A5">
      <w:pPr>
        <w:spacing w:before="240" w:line="360" w:lineRule="auto"/>
        <w:jc w:val="both"/>
        <w:rPr>
          <w:rFonts w:ascii="Times New Roman" w:eastAsia="Times New Roman" w:hAnsi="Times New Roman" w:cs="Times New Roman"/>
          <w:sz w:val="24"/>
          <w:szCs w:val="24"/>
        </w:rPr>
      </w:pPr>
      <w:r w:rsidRPr="00635B72">
        <w:rPr>
          <w:rFonts w:ascii="Times New Roman" w:eastAsia="Times New Roman" w:hAnsi="Times New Roman" w:cs="Times New Roman"/>
          <w:b/>
          <w:bCs/>
          <w:color w:val="000000" w:themeColor="text1"/>
          <w:sz w:val="24"/>
          <w:szCs w:val="24"/>
        </w:rPr>
        <w:t>AN OVERVIEW OF INDIAN CAPITAL MARKET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financial system of any country serves as the backbone of its economic development. It acts as an institutional mechanism for mobilizing savings from surplus sectors (households) and channeling them into productive investment avenues (corporates and government infrastructure). The Indian financial system comprises financial institutions, financial markets, financial instruments, and financial services.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In recent decades, the Indian Capital Market has undergone a massive structural shift. Historically, Indian retail investors heavily favored physical assets like gold and real estate, or traditional, low-risk instruments such as bank fixed deposits and post office savings. However, financial literacy, economic growth, and structural reforms have led to the "financialization" of household savings. Modern retail investors increasingly participate in market-linked financial instruments to beat inflation and achieve long-term wealth creation.</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INDIAN STOCK EXCHANGE</w:t>
      </w:r>
    </w:p>
    <w:p w:rsidR="006748A5" w:rsidRPr="00635B72" w:rsidRDefault="006748A5" w:rsidP="006748A5">
      <w:pPr>
        <w:spacing w:before="240" w:line="360" w:lineRule="auto"/>
        <w:jc w:val="both"/>
        <w:rPr>
          <w:rFonts w:ascii="Times New Roman" w:eastAsia="Times New Roman" w:hAnsi="Times New Roman" w:cs="Times New Roman"/>
          <w:sz w:val="24"/>
          <w:szCs w:val="24"/>
        </w:rPr>
      </w:pPr>
      <w:r w:rsidRPr="00635B72">
        <w:rPr>
          <w:rFonts w:ascii="Times New Roman" w:eastAsia="Times New Roman" w:hAnsi="Times New Roman" w:cs="Times New Roman"/>
          <w:b/>
          <w:bCs/>
          <w:color w:val="000000" w:themeColor="text1"/>
          <w:sz w:val="24"/>
          <w:szCs w:val="24"/>
        </w:rPr>
        <w:t>HISTORY OF STOCK EXCHANGE IN INDIA</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first organized stock exchange in India was started in 1875 at Bombay, and it is recognized to be the oldest in Asia. The history of formal stock trading in the country began with 318 persons taking membership in the Native Share and Stock Brokers Association, known today as the Bombay Stock Exchange (BSE). In 1956, the BSE received permanent recognition from the Government of India under the Securities Contracts (Regulation) Act.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To facilitate regional industrial development and dealings in the shares of local textile mills, the Ahmedabad Stock Exchange was established in 1894. Following this expansion, the Calcutta Stock Exchange was started in 1908 to provide a dedicated market for the shares of regional plantations and jute mills.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Later, the Madras Stock Exchange was established in 1920. Historically, the country operated with 24 regional stock exchanges to support localized businesses. However, with the modernization of capital markets, trading became highly centralized around national platforms, and almost all regional exchanges safely exited the marketplace under subsequent SEBI guidelines.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The modernization era saw the setup of new national platforms with a mandate for nationwide electronic trading, most notably the National Stock Exchange (NSE) and the Over the Counter Exchange of India (OTCEI). Today, the BSE and the NSE dominate the market, functioning as the primary synonyms of the Indian stock market.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To measure market performance, the BSE first compiled its 30-stock sensitive index, known as the Sensex, in 1986. The Sensex is compiled based on the performance of the stocks of 30 financially sound, benchmark companies. In 1990, the Sensex crossed the historic 1,000 mark for the first time, and it rapidly breached the 2,000, 3,000, and 4,000 milestones during the market cycles of 1992.</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PRIMARY MARKET</w:t>
      </w:r>
    </w:p>
    <w:p w:rsidR="006748A5" w:rsidRPr="00635B72" w:rsidRDefault="006748A5" w:rsidP="00CB564A">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primary market is that part of the capital market that deals with the issuance of new securities. Companies, governments, or public sector institutions use this market to obtain long-term funding through the sale of new stock or bond issues.</w:t>
      </w:r>
    </w:p>
    <w:p w:rsidR="006748A5" w:rsidRPr="00635B72" w:rsidRDefault="006748A5" w:rsidP="00CB564A">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This process is typically managed through investment banks or a syndicate of security firms via underwriting. In the case of a new equity issue, this public sale is called an Initial Public Offering (IPO).</w:t>
      </w:r>
    </w:p>
    <w:p w:rsidR="006748A5" w:rsidRPr="00635B72" w:rsidRDefault="006748A5" w:rsidP="00CB564A">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Dealers and investment banks earn a commission built into the price of the security offering, making this the primary route for corporate entities to raise long-term capital.</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FEATURES OF PRIMARY MARKET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This is the market for new long term equity capital. This primary market is the market where the securities are sold for the first time. Therefore it is also called the new issue market (NIM).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 a primary issue, the securities are issued by the company directly to investors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company receives the money and issue new securities certificates to investors.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Primary issues are used by companies for the purpose of setting up new business or for expanding or modernizing the existing business.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primary market performs the crucial function of facilitating capital formation in  the economy.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new issue market does not include certain other sources of new long term external finance, such as loan from financial Institutions. Borrower sin the new </w:t>
      </w:r>
      <w:r w:rsidRPr="00635B72">
        <w:rPr>
          <w:rFonts w:ascii="Times New Roman" w:hAnsi="Times New Roman" w:cs="Times New Roman"/>
          <w:sz w:val="24"/>
          <w:szCs w:val="24"/>
        </w:rPr>
        <w:lastRenderedPageBreak/>
        <w:t xml:space="preserve">issue  market may  be raising capital for converting private capital into public capital; this is known as "gong public". </w:t>
      </w:r>
    </w:p>
    <w:p w:rsidR="006748A5" w:rsidRPr="00635B72" w:rsidRDefault="006748A5" w:rsidP="00CB564A">
      <w:pPr>
        <w:pStyle w:val="ListParagraph"/>
        <w:numPr>
          <w:ilvl w:val="0"/>
          <w:numId w:val="26"/>
        </w:num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financial assets sold can only be redeemed by the original holder.</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SECONDARY MAKET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secondary market is an ongoing, continuous market organized with institutional platforms, digital networks, and facilities required for trading securities after their initial public offering.</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It refers to a centralized marketplace where securities transactions among a multitude of buyers and sellers are carried out through the structured intermediation of licensed brokerage firms and corporate exchanges, operating in accordance with established rules and regulations.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Historically, the Bombay Stock Exchange (BSE), founded in 1875, was the dominant exchange in India until the National Stock Exchange (NSE) started operations in 1994. Backed by major banks and financial institutions, the NSE was introduced to reform the financial sector following the market vulnerabilities exposed in 1992.</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traditional trading method on the BSE required brokers to physically assemble on a floor called the "trading ring," using hand gestures and open shouting to match orders. This physical system was opaque, restricted investor access, and used paper shares that were highly prone to duplication, transit loss, and fraud.</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NSE revolutionized the industry by introducing India's first automated, screen-based electronic trading platform, which forced the BSE to follow suit and modernize its architecture.</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present-day trading platform is fully transparent, secure, and provides investors with real-time price monitoring. With the introduction of national depositories and mandatory dematerialization (Demat), transaction fraud has been completely minimized.</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A typical trading day on modern national exchanges starts at 9:15 AM and concludes at 3:30 PM on weekdays. The BSE tracks market movement through 30 benchmark stocks making up the SENSEX, while the NSE tracks 50 major stocks through the NIFTY index. Foreign Institutional Investors (FIIs), commercial banks, domestic financial institutions, and mutual funds are the largest players driving liquidity in the market today.</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MAJOR STOCK EXCHANGES IN INDIA</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A. National Stock Exchange (NSE)</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National stock Exchange (NSE) of India commenced its operation in the India capital market on 3rd November 1994 in Mumbai. The recommendations of Pherwani Committee led to the beginning of NSE.  </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Major Players in the NSE:</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1. Trading Members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2. Participants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recognized members of NSE are called trading members who trade on behalf of themselves and their clients. Participants include trading members and large player like bank who take who direct settlement possibility.</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B. Bombay Stock Exchange (BSE)</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stock exchange in Mumbai is popularly known as the 'BSE'. It is the oldest stock exchange in Asia, established in 1875 as "The Native Share and Stock Brokers'Association." Over the years, it has undergone a structural transformation, successfully converting itself into a fully demutualized and corporatized entity. It has evolved into a premier stock exchange in the country, having obtained permanent recognition in 1956 from the Government of India under the Securities Contracts (Regulation) Act, 1956.</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MAJOR PLAYERS IN INDIA SHARE BROKING INDUSTRY ARE FOLLOWS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ICICI Securities Ltd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Kotak securities Ltd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India bulls Financial Services Limited 4, India Infoline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IL&amp;FS Investment Limited.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SSKLI Ltd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Motila lOswa lsecurities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Fortis securities (Reliance)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Karya securities.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 xml:space="preserve">Geojit Financial ServicesLtd.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HDFC Securities.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JRG Securities. </w:t>
      </w:r>
    </w:p>
    <w:p w:rsidR="006748A5" w:rsidRPr="00635B72" w:rsidRDefault="006748A5" w:rsidP="006748A5">
      <w:pPr>
        <w:pStyle w:val="ListParagraph"/>
        <w:numPr>
          <w:ilvl w:val="0"/>
          <w:numId w:val="24"/>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India Infoline</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GROWTH OF THE MUTUAL FUND INDUSTRY IN INDIA</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mutual fund industry in India has transitioned through distinct structural phases, moving from a single state-controlled monopoly to a highly competitive, digitally driven retail mass market. The evolution can be broadly classified into the following phases: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Phase I (1963 – 1987): The Monopolistic Phase (UTI Era)</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mutual fund industry in India began in 1963 with the formation of the Unit Trust of India (UTI), established through a special Act of Parliament by the Government of India and the Reserve Bank of India. UTI launched its first and most famous scheme, Unit Scheme 1964 (US-64), in 1964. For over two decades, UTI remained the sole mutual fund vehicle available to Indian retail investors, successfully channeling early household savings into corporate industrial investments.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Phase II (1987 – 1993): Entry of Public Sector Funds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This phase marked the end of UTI's monopoly as the Government allowed public sector banks and insurance companies to launch their own mutual funds. SBI Mutual Fund became the first non-UTI public sector mutual fund established in November 1987. It was quickly followed by Canbank Mutual Fund, Punjab National Bank Mutual Fund, and insurance giants like LIC and GIC. This phase successfully expanded the geographical reach of mutual funds beyond metro cities.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Phase III (1993 – 2003): Entry of Private Sector Funds and Birth of SEBI</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With the economic liberalization policies of 1991, the mutual fund industry was opened to the private sector in 1993. Kothari Pioneer Mutual Fund was the first private sector fund house to register in India. Crucially, the Securities and Exchange Board of India (SEBI) formulated its first comprehensive Mutual Fund Regulations in 1993 to protect retail investors, which were completely revamped and tightened in 1996. This era also saw the establishment of the Association of Mutual Funds in India (AMFI) in 1995 to ensure ethical industry practices.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Phase IV (2003 – 2014): Consolidation and Global Integration</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Following a major restructuring of UTI in 2003, the industry entered a phase of massive consolidation. Global financial giants entered the Indian market through mergers and acquisitions. However, the industry faced severe challenges during the 2008 Global Financial Crisis. In 2012, SEBI introduced radical structural reforms to re-energize the sector, introducing "Direct Plans" with lower expense ratios to benefit cost-conscious retail savers.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Phase V (2014 – Present): The Digital Boom and Retail SIP Explosion</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modern era of Indian mutual funds is characterized by an unprecedented growth explosion driven by financial inclusion, widespread smartphone penetration, and digital KYC onboarding via fintech apps. The industry's regulatory framework reached peak maturity with strict categorization of schemes by SEBI to prevent mis-selling. Driven by mass investor education campaigns like "Mutual Funds Sahi Hai", regular monthly Systematic Investment Plans (SIPs) became a mainstream household savings habit, driving the industry's Assets Under Management (AUM) to historic highs.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SEBI (Securities Exchange Board of India)  </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Securities and Exchange Board of India (SEBI) was first established in the year 1988 as a non-statutory body for regulating the securities market. It became an autonomous body under the Government of India on April 12, 1992, and was granted statutory powers through the passage of the SEBI Act, 1992, by the Indian Parliament.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SEBI has its headquarters at the business district of Bandra Kurla Complex in Mumbai, and maintains Northern, Eastern, Southern, and Western Regional Offices in New Delhi, Kolkata, Chennai, and Ahmedabad respectively. Over the years, it has scaled its geographical reach by operating localized satellite offices across major state capitals—including Bangalore, Jaipur, Guwahati, Bhubaneswar, Patna, Kochi, and Chandigarh—to ensure comprehensive regulatory oversight.</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Controller of Capital Issues was the regulatory authority before SEBI came into existence; it derived its authority from the Capital Issues (Control) Act, 1947.</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Initially, SEBI was a non-statutory body without enforcement powers. However, the regulatory framework was strengthened when SEBI was given full statutory power by the </w:t>
      </w:r>
      <w:r w:rsidRPr="00635B72">
        <w:rPr>
          <w:rFonts w:ascii="Times New Roman" w:hAnsi="Times New Roman" w:cs="Times New Roman"/>
          <w:sz w:val="24"/>
          <w:szCs w:val="24"/>
        </w:rPr>
        <w:lastRenderedPageBreak/>
        <w:t>Government of India through the Securities and Exchange Board of India Act, 1992. The SEBI is managed by its board members, which consists of the following:</w:t>
      </w:r>
    </w:p>
    <w:p w:rsidR="006748A5" w:rsidRPr="00635B72" w:rsidRDefault="006748A5" w:rsidP="006748A5">
      <w:pPr>
        <w:pStyle w:val="ListParagraph"/>
        <w:numPr>
          <w:ilvl w:val="0"/>
          <w:numId w:val="23"/>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Chairman, who is nominated by the Union Government of India.</w:t>
      </w:r>
    </w:p>
    <w:p w:rsidR="006748A5" w:rsidRPr="00635B72" w:rsidRDefault="006748A5" w:rsidP="006748A5">
      <w:pPr>
        <w:pStyle w:val="ListParagraph"/>
        <w:numPr>
          <w:ilvl w:val="0"/>
          <w:numId w:val="23"/>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Two members chosen from among the officers of the Union Ministry of Finance.</w:t>
      </w:r>
    </w:p>
    <w:p w:rsidR="006748A5" w:rsidRPr="00635B72" w:rsidRDefault="006748A5" w:rsidP="006748A5">
      <w:pPr>
        <w:pStyle w:val="ListParagraph"/>
        <w:numPr>
          <w:ilvl w:val="0"/>
          <w:numId w:val="23"/>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One member nominated by the Reserve Bank of India.</w:t>
      </w:r>
    </w:p>
    <w:p w:rsidR="006748A5" w:rsidRPr="00635B72" w:rsidRDefault="006748A5" w:rsidP="006748A5">
      <w:pPr>
        <w:pStyle w:val="ListParagraph"/>
        <w:numPr>
          <w:ilvl w:val="0"/>
          <w:numId w:val="23"/>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The remaining five members are nominated by the Union Government of India</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FUNCTIONS AND RESPONSIBILITIES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Preamble of the Securities and Exchange Board of India describes the basic functions of the regulator as "to protect the interests of investors in securities and to promote the development of, and to regulate the securities market and for matters connected there with or incidental thereto".</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SEBI has to be responsive to the needs of three groups, which constitute the market:</w:t>
      </w:r>
    </w:p>
    <w:p w:rsidR="006748A5" w:rsidRPr="00635B72" w:rsidRDefault="006748A5" w:rsidP="006748A5">
      <w:pPr>
        <w:pStyle w:val="ListParagraph"/>
        <w:numPr>
          <w:ilvl w:val="0"/>
          <w:numId w:val="22"/>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The issuers of securities</w:t>
      </w:r>
    </w:p>
    <w:p w:rsidR="006748A5" w:rsidRPr="00635B72" w:rsidRDefault="006748A5" w:rsidP="006748A5">
      <w:pPr>
        <w:pStyle w:val="ListParagraph"/>
        <w:numPr>
          <w:ilvl w:val="0"/>
          <w:numId w:val="22"/>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The investors</w:t>
      </w:r>
    </w:p>
    <w:p w:rsidR="006748A5" w:rsidRPr="00635B72" w:rsidRDefault="006748A5" w:rsidP="006748A5">
      <w:pPr>
        <w:pStyle w:val="ListParagraph"/>
        <w:numPr>
          <w:ilvl w:val="0"/>
          <w:numId w:val="22"/>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The market intermediaries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SEBI has three functions rolled into one body: quasi-legislative, quasi-judicial, and quasi-executive. It drafts regulations in its legislative capacity, it conducts investigations and enforcement actions in its executive function, and it passes rulings and orders in its judicial capacity.</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Though this makes it very powerful, there is an appeal process to ensure institutional accountability. There is a Securities Appellate Tribunal (SAT) which is a three-member tribunal headed by the Presiding Officer, Justice (Retd.) P. S. Dinesh Kumar, the former Chief Justice of the High Court of Karnataka. A second appeal against the tribunal's orders lies directly to the Supreme Court of India. SEBI has taken a highly proactive role in streamlining domestic disclosure requirements to meet international standards.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POWERS</w:t>
      </w:r>
    </w:p>
    <w:p w:rsidR="006748A5" w:rsidRPr="00635B72" w:rsidRDefault="006748A5" w:rsidP="006748A5">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For the discharge of its functions efficiently, SEBI has been vested with the following powers: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To approve bylaws of recognized stock exchanges.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To require the stock exchanges to amend their operational bylaws.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To inspect the books of accounts and call for periodical returns from recognized stock exchanges.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To inspect the books of accounts of registered financial intermediaries.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To compel certain companies to list their shares in one or more stock exchanges.</w:t>
      </w:r>
    </w:p>
    <w:p w:rsidR="006748A5" w:rsidRPr="00635B72" w:rsidRDefault="006748A5" w:rsidP="006748A5">
      <w:pPr>
        <w:pStyle w:val="ListParagraph"/>
        <w:numPr>
          <w:ilvl w:val="0"/>
          <w:numId w:val="21"/>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To manage the formal registration and licensing of stockbrokers</w:t>
      </w:r>
    </w:p>
    <w:p w:rsidR="006748A5" w:rsidRPr="00635B72" w:rsidRDefault="006748A5" w:rsidP="006748A5">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SEBI COMMITTEES</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Technical Advisory Committee</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Committee for Review of Structure of Market Infrastructure Institutions</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Advisory Committee for the SEBI Investor Protection and Education Fund</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Takeover Regulations Advisory Committee</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Primary Market Advisory Committee (PMAC)</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Secondary Market Advisory Committee (SMAC)</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Mutual Fund Advisory Committee</w:t>
      </w:r>
    </w:p>
    <w:p w:rsidR="006748A5" w:rsidRPr="00635B72" w:rsidRDefault="006748A5" w:rsidP="006748A5">
      <w:pPr>
        <w:pStyle w:val="ListParagraph"/>
        <w:numPr>
          <w:ilvl w:val="0"/>
          <w:numId w:val="20"/>
        </w:numPr>
        <w:spacing w:after="160" w:line="360" w:lineRule="auto"/>
        <w:jc w:val="both"/>
        <w:rPr>
          <w:rFonts w:ascii="Times New Roman" w:hAnsi="Times New Roman" w:cs="Times New Roman"/>
          <w:sz w:val="24"/>
          <w:szCs w:val="24"/>
        </w:rPr>
      </w:pPr>
      <w:r w:rsidRPr="00635B72">
        <w:rPr>
          <w:rFonts w:ascii="Times New Roman" w:hAnsi="Times New Roman" w:cs="Times New Roman"/>
          <w:sz w:val="24"/>
          <w:szCs w:val="24"/>
        </w:rPr>
        <w:t>Corporate Bonds &amp; Securitization Advisory Committee</w:t>
      </w:r>
    </w:p>
    <w:p w:rsidR="006748A5" w:rsidRPr="00635B72" w:rsidRDefault="006748A5" w:rsidP="006748A5">
      <w:pPr>
        <w:spacing w:line="360" w:lineRule="auto"/>
        <w:jc w:val="both"/>
        <w:rPr>
          <w:rFonts w:ascii="Times New Roman" w:hAnsi="Times New Roman" w:cs="Times New Roman"/>
          <w:sz w:val="24"/>
          <w:szCs w:val="24"/>
        </w:rPr>
      </w:pPr>
    </w:p>
    <w:p w:rsidR="00056702" w:rsidRPr="00635B72" w:rsidRDefault="00056702" w:rsidP="006748A5">
      <w:pPr>
        <w:spacing w:before="240" w:line="360" w:lineRule="auto"/>
        <w:jc w:val="both"/>
        <w:rPr>
          <w:rFonts w:ascii="Times New Roman" w:hAnsi="Times New Roman" w:cs="Times New Roman"/>
          <w:sz w:val="24"/>
          <w:szCs w:val="24"/>
        </w:rPr>
      </w:pPr>
    </w:p>
    <w:p w:rsidR="006748A5" w:rsidRPr="00635B72" w:rsidRDefault="006748A5" w:rsidP="006748A5">
      <w:pPr>
        <w:spacing w:before="240" w:line="360" w:lineRule="auto"/>
        <w:jc w:val="both"/>
        <w:rPr>
          <w:rFonts w:ascii="Times New Roman" w:hAnsi="Times New Roman" w:cs="Times New Roman"/>
          <w:sz w:val="24"/>
          <w:szCs w:val="24"/>
        </w:rPr>
      </w:pPr>
    </w:p>
    <w:p w:rsidR="006748A5" w:rsidRPr="00635B72" w:rsidRDefault="006748A5" w:rsidP="006748A5">
      <w:pPr>
        <w:spacing w:before="240" w:line="360" w:lineRule="auto"/>
        <w:jc w:val="both"/>
        <w:rPr>
          <w:rFonts w:ascii="Times New Roman" w:hAnsi="Times New Roman" w:cs="Times New Roman"/>
          <w:sz w:val="24"/>
          <w:szCs w:val="24"/>
        </w:rPr>
      </w:pPr>
    </w:p>
    <w:p w:rsidR="006748A5" w:rsidRPr="00635B72" w:rsidRDefault="006748A5" w:rsidP="006748A5">
      <w:pPr>
        <w:spacing w:before="240" w:line="360" w:lineRule="auto"/>
        <w:jc w:val="both"/>
        <w:rPr>
          <w:rFonts w:ascii="Times New Roman" w:hAnsi="Times New Roman" w:cs="Times New Roman"/>
          <w:sz w:val="24"/>
          <w:szCs w:val="24"/>
        </w:rPr>
      </w:pPr>
    </w:p>
    <w:p w:rsidR="00056702" w:rsidRPr="00635B72" w:rsidRDefault="00056702" w:rsidP="006748A5">
      <w:pPr>
        <w:spacing w:before="240" w:line="360" w:lineRule="auto"/>
        <w:jc w:val="both"/>
        <w:rPr>
          <w:rFonts w:ascii="Times New Roman" w:hAnsi="Times New Roman" w:cs="Times New Roman"/>
          <w:sz w:val="24"/>
          <w:szCs w:val="24"/>
        </w:rPr>
      </w:pPr>
    </w:p>
    <w:p w:rsidR="00056702" w:rsidRPr="00635B72" w:rsidRDefault="00056702" w:rsidP="006748A5">
      <w:pPr>
        <w:spacing w:before="240" w:line="360" w:lineRule="auto"/>
        <w:jc w:val="both"/>
        <w:rPr>
          <w:rFonts w:ascii="Times New Roman" w:hAnsi="Times New Roman" w:cs="Times New Roman"/>
          <w:sz w:val="24"/>
          <w:szCs w:val="24"/>
        </w:rPr>
      </w:pPr>
    </w:p>
    <w:p w:rsidR="00056702" w:rsidRPr="00635B72" w:rsidRDefault="00056702" w:rsidP="006748A5">
      <w:pPr>
        <w:spacing w:before="240" w:line="360" w:lineRule="auto"/>
        <w:jc w:val="both"/>
        <w:rPr>
          <w:rFonts w:ascii="Times New Roman" w:hAnsi="Times New Roman" w:cs="Times New Roman"/>
          <w:sz w:val="24"/>
          <w:szCs w:val="24"/>
        </w:rPr>
      </w:pPr>
    </w:p>
    <w:p w:rsidR="00C6734E" w:rsidRPr="00635B72" w:rsidRDefault="00C6734E" w:rsidP="006748A5">
      <w:pPr>
        <w:spacing w:before="240" w:line="360" w:lineRule="auto"/>
        <w:jc w:val="both"/>
        <w:rPr>
          <w:rFonts w:ascii="Times New Roman" w:hAnsi="Times New Roman" w:cs="Times New Roman"/>
          <w:sz w:val="24"/>
          <w:szCs w:val="24"/>
        </w:rPr>
      </w:pPr>
    </w:p>
    <w:p w:rsidR="00C6734E" w:rsidRPr="00635B72" w:rsidRDefault="00C6734E" w:rsidP="006748A5">
      <w:pPr>
        <w:spacing w:before="240" w:line="360" w:lineRule="auto"/>
        <w:jc w:val="both"/>
        <w:rPr>
          <w:rFonts w:ascii="Times New Roman" w:hAnsi="Times New Roman" w:cs="Times New Roman"/>
          <w:sz w:val="24"/>
          <w:szCs w:val="24"/>
        </w:rPr>
      </w:pPr>
    </w:p>
    <w:p w:rsidR="00C6734E" w:rsidRPr="00635B72" w:rsidRDefault="00C6734E" w:rsidP="006748A5">
      <w:pPr>
        <w:spacing w:before="240" w:line="360" w:lineRule="auto"/>
        <w:jc w:val="both"/>
        <w:rPr>
          <w:rFonts w:ascii="Times New Roman" w:hAnsi="Times New Roman" w:cs="Times New Roman"/>
          <w:sz w:val="24"/>
          <w:szCs w:val="24"/>
        </w:rPr>
      </w:pPr>
    </w:p>
    <w:p w:rsidR="00D806AD" w:rsidRPr="00635B72" w:rsidRDefault="00056702" w:rsidP="00275966">
      <w:p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lastRenderedPageBreak/>
        <w:t>3.2 PROFILE OF THE ORGANISATION</w:t>
      </w:r>
    </w:p>
    <w:p w:rsidR="00F913A4" w:rsidRPr="00635B72" w:rsidRDefault="00F913A4" w:rsidP="00F913A4">
      <w:pPr>
        <w:spacing w:before="240" w:line="360" w:lineRule="auto"/>
        <w:jc w:val="center"/>
        <w:rPr>
          <w:rFonts w:ascii="Times New Roman" w:hAnsi="Times New Roman" w:cs="Times New Roman"/>
          <w:sz w:val="24"/>
          <w:szCs w:val="24"/>
        </w:rPr>
      </w:pPr>
      <w:r w:rsidRPr="00635B72">
        <w:rPr>
          <w:rFonts w:ascii="Times New Roman" w:hAnsi="Times New Roman" w:cs="Times New Roman"/>
          <w:noProof/>
          <w:lang w:val="en-IN" w:eastAsia="en-IN"/>
        </w:rPr>
        <w:drawing>
          <wp:inline distT="0" distB="0" distL="0" distR="0">
            <wp:extent cx="4533900" cy="4533900"/>
            <wp:effectExtent l="0" t="0" r="0" b="0"/>
            <wp:docPr id="45" name="Picture 45" descr="Find list of Geojit Financial Services in Indiranagar, Bangalore near me -  Justd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list of Geojit Financial Services in Indiranagar, Bangalore near me -  Justdi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3900" cy="4533900"/>
                    </a:xfrm>
                    <a:prstGeom prst="rect">
                      <a:avLst/>
                    </a:prstGeom>
                    <a:noFill/>
                    <a:ln>
                      <a:noFill/>
                    </a:ln>
                  </pic:spPr>
                </pic:pic>
              </a:graphicData>
            </a:graphic>
          </wp:inline>
        </w:drawing>
      </w:r>
    </w:p>
    <w:p w:rsidR="00CA5082" w:rsidRPr="00635B72" w:rsidRDefault="00CA5082" w:rsidP="45945E8F">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Geojit is a leading Investment services company in India with a growing presence in the Middle East. The company rides on its rich experience in the capital market to offer its clients a wide portfolio of savings and investment solutions. The gamut of value-added products and services offered ranges from Equities and Derivatives to Mutual </w:t>
      </w:r>
      <w:r w:rsidR="77941AF2" w:rsidRPr="00635B72">
        <w:rPr>
          <w:rFonts w:ascii="Times New Roman" w:hAnsi="Times New Roman" w:cs="Times New Roman"/>
          <w:sz w:val="24"/>
          <w:szCs w:val="24"/>
        </w:rPr>
        <w:t xml:space="preserve">Funds, Life </w:t>
      </w:r>
      <w:r w:rsidRPr="00635B72">
        <w:rPr>
          <w:rFonts w:ascii="Times New Roman" w:hAnsi="Times New Roman" w:cs="Times New Roman"/>
          <w:sz w:val="24"/>
          <w:szCs w:val="24"/>
        </w:rPr>
        <w:t>&amp; General Insurance and Financial Planning. The needs of over</w:t>
      </w:r>
      <w:r w:rsidR="7B57F294" w:rsidRPr="00635B72">
        <w:rPr>
          <w:rFonts w:ascii="Times New Roman" w:hAnsi="Times New Roman" w:cs="Times New Roman"/>
          <w:sz w:val="24"/>
          <w:szCs w:val="24"/>
        </w:rPr>
        <w:t xml:space="preserve"> 16 lakh</w:t>
      </w:r>
      <w:r w:rsidRPr="00635B72">
        <w:rPr>
          <w:rFonts w:ascii="Times New Roman" w:hAnsi="Times New Roman" w:cs="Times New Roman"/>
          <w:sz w:val="24"/>
          <w:szCs w:val="24"/>
        </w:rPr>
        <w:t xml:space="preserve"> clients are met via multichannel services - a countrywide network of over 512 offices, phone service, dedicated Customer Care Centre and </w:t>
      </w:r>
      <w:r w:rsidR="408DB9B3" w:rsidRPr="00635B72">
        <w:rPr>
          <w:rFonts w:ascii="Times New Roman" w:hAnsi="Times New Roman" w:cs="Times New Roman"/>
          <w:sz w:val="24"/>
          <w:szCs w:val="24"/>
        </w:rPr>
        <w:t>the Internet</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Geojit has membership in, and is listed on, the National Stock Exchange (NSE) and the Bombay Stock Exchange (BSE). In 2007, global banking major BNP Paribas joined the company’s other shareholders - Mr. C. J. George, </w:t>
      </w:r>
      <w:r w:rsidR="506D1959" w:rsidRPr="00635B72">
        <w:rPr>
          <w:rFonts w:ascii="Times New Roman" w:hAnsi="Times New Roman" w:cs="Times New Roman"/>
          <w:sz w:val="24"/>
          <w:szCs w:val="24"/>
        </w:rPr>
        <w:t xml:space="preserve">Founder and </w:t>
      </w:r>
      <w:r w:rsidRPr="00635B72">
        <w:rPr>
          <w:rFonts w:ascii="Times New Roman" w:hAnsi="Times New Roman" w:cs="Times New Roman"/>
          <w:sz w:val="24"/>
          <w:szCs w:val="24"/>
        </w:rPr>
        <w:t>Managing</w:t>
      </w:r>
      <w:r w:rsidR="48FDCD9F" w:rsidRPr="00635B72">
        <w:rPr>
          <w:rFonts w:ascii="Times New Roman" w:hAnsi="Times New Roman" w:cs="Times New Roman"/>
          <w:sz w:val="24"/>
          <w:szCs w:val="24"/>
        </w:rPr>
        <w:t xml:space="preserve"> </w:t>
      </w:r>
      <w:r w:rsidRPr="00635B72">
        <w:rPr>
          <w:rFonts w:ascii="Times New Roman" w:hAnsi="Times New Roman" w:cs="Times New Roman"/>
          <w:sz w:val="24"/>
          <w:szCs w:val="24"/>
        </w:rPr>
        <w:t>Director,  Kerala State Industrial Development Corporation (KSIDC) and Mr. Rakesh</w:t>
      </w:r>
      <w:r w:rsidR="1625363E" w:rsidRPr="00635B72">
        <w:rPr>
          <w:rFonts w:ascii="Times New Roman" w:hAnsi="Times New Roman" w:cs="Times New Roman"/>
          <w:sz w:val="24"/>
          <w:szCs w:val="24"/>
        </w:rPr>
        <w:t xml:space="preserve"> </w:t>
      </w:r>
      <w:r w:rsidRPr="00635B72">
        <w:rPr>
          <w:rFonts w:ascii="Times New Roman" w:hAnsi="Times New Roman" w:cs="Times New Roman"/>
          <w:sz w:val="24"/>
          <w:szCs w:val="24"/>
        </w:rPr>
        <w:t>Jhunjhunwala – when it bought a stake and became the single largest</w:t>
      </w:r>
      <w:r w:rsidR="1E550A77" w:rsidRPr="00635B72">
        <w:rPr>
          <w:rFonts w:ascii="Times New Roman" w:hAnsi="Times New Roman" w:cs="Times New Roman"/>
          <w:sz w:val="24"/>
          <w:szCs w:val="24"/>
        </w:rPr>
        <w:t xml:space="preserve"> </w:t>
      </w:r>
      <w:r w:rsidRPr="00635B72">
        <w:rPr>
          <w:rFonts w:ascii="Times New Roman" w:hAnsi="Times New Roman" w:cs="Times New Roman"/>
          <w:sz w:val="24"/>
          <w:szCs w:val="24"/>
        </w:rPr>
        <w:t>shareholder.</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The company also has a strategic presence in the Middle East region in the form of joint ventures and partnerships. Barjeel</w:t>
      </w:r>
      <w:r w:rsidR="0D199787"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 Securities, its joint venture with the Al Saud Group, is headquartered in Dubai, in the United Arab Emirates, and has branches in Abu Dhabi, Al Ain, and Sharjah. Aloula</w:t>
      </w:r>
      <w:r w:rsidR="0C74E342"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 Capital Company, the joint venture with the Al Johar Group in Saudi Arabia is headquartered in Riyadh with a branch in Dammam. BBK</w:t>
      </w:r>
      <w:r w:rsidR="08A9FD42"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 Securities KSC, located in Kuwait, is a joint venture with Bank of Bahrain, Kuwait and JZA. QBG</w:t>
      </w:r>
      <w:r w:rsidR="21472F3B"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 Financial Services Ltd is the joint venture with QBG and National Securities Company and is based in Oman. In addition, the company has a business partnership with Bank of Bahrain and Kuwait in Bahrain.</w:t>
      </w:r>
    </w:p>
    <w:p w:rsidR="00CA5082" w:rsidRPr="00635B72" w:rsidRDefault="00CA5082" w:rsidP="45945E8F">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Geojit was founded by C. J. George in 1987 and the major stakeholders of the company include C. J. George – Managing Director of Geojit, global banking major BNP</w:t>
      </w:r>
      <w:r w:rsidR="7BAA85CE"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Paribas, Kerala State Industrial </w:t>
      </w:r>
      <w:r w:rsidR="508AA55C" w:rsidRPr="00635B72">
        <w:rPr>
          <w:rFonts w:ascii="Times New Roman" w:hAnsi="Times New Roman" w:cs="Times New Roman"/>
          <w:sz w:val="24"/>
          <w:szCs w:val="24"/>
        </w:rPr>
        <w:t>Development Corporation</w:t>
      </w:r>
      <w:r w:rsidRPr="00635B72">
        <w:rPr>
          <w:rFonts w:ascii="Times New Roman" w:hAnsi="Times New Roman" w:cs="Times New Roman"/>
          <w:sz w:val="24"/>
          <w:szCs w:val="24"/>
        </w:rPr>
        <w:t xml:space="preserve"> and </w:t>
      </w:r>
      <w:r w:rsidR="3F6C0849" w:rsidRPr="00635B72">
        <w:rPr>
          <w:rFonts w:ascii="Times New Roman" w:hAnsi="Times New Roman" w:cs="Times New Roman"/>
          <w:sz w:val="24"/>
          <w:szCs w:val="24"/>
        </w:rPr>
        <w:t>Rakesh Jhunjhunwala</w:t>
      </w:r>
      <w:r w:rsidRPr="00635B72">
        <w:rPr>
          <w:rFonts w:ascii="Times New Roman" w:hAnsi="Times New Roman" w:cs="Times New Roman"/>
          <w:sz w:val="24"/>
          <w:szCs w:val="24"/>
        </w:rPr>
        <w:t>. As of</w:t>
      </w:r>
      <w:r w:rsidR="77AA65BE" w:rsidRPr="00635B72">
        <w:rPr>
          <w:rFonts w:ascii="Times New Roman" w:hAnsi="Times New Roman" w:cs="Times New Roman"/>
          <w:sz w:val="24"/>
          <w:szCs w:val="24"/>
        </w:rPr>
        <w:t xml:space="preserve"> the current financial period</w:t>
      </w:r>
      <w:r w:rsidRPr="00635B72">
        <w:rPr>
          <w:rFonts w:ascii="Times New Roman" w:hAnsi="Times New Roman" w:cs="Times New Roman"/>
          <w:sz w:val="24"/>
          <w:szCs w:val="24"/>
        </w:rPr>
        <w:t>, it has over Rs.</w:t>
      </w:r>
      <w:r w:rsidR="4625ADA0" w:rsidRPr="00635B72">
        <w:rPr>
          <w:rFonts w:ascii="Times New Roman" w:hAnsi="Times New Roman" w:cs="Times New Roman"/>
          <w:sz w:val="24"/>
          <w:szCs w:val="24"/>
        </w:rPr>
        <w:t>97</w:t>
      </w:r>
      <w:r w:rsidRPr="00635B72">
        <w:rPr>
          <w:rFonts w:ascii="Times New Roman" w:hAnsi="Times New Roman" w:cs="Times New Roman"/>
          <w:sz w:val="24"/>
          <w:szCs w:val="24"/>
        </w:rPr>
        <w:t>,000</w:t>
      </w:r>
      <w:r w:rsidR="677E3D93"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crores as assets under custody and management, servicing over </w:t>
      </w:r>
      <w:r w:rsidR="7342DFA5" w:rsidRPr="00635B72">
        <w:rPr>
          <w:rFonts w:ascii="Times New Roman" w:hAnsi="Times New Roman" w:cs="Times New Roman"/>
          <w:sz w:val="24"/>
          <w:szCs w:val="24"/>
        </w:rPr>
        <w:t>16 lakh</w:t>
      </w:r>
      <w:r w:rsidR="3D39FDDE" w:rsidRPr="00635B72">
        <w:rPr>
          <w:rFonts w:ascii="Times New Roman" w:hAnsi="Times New Roman" w:cs="Times New Roman"/>
          <w:sz w:val="24"/>
          <w:szCs w:val="24"/>
        </w:rPr>
        <w:t xml:space="preserve"> </w:t>
      </w:r>
      <w:r w:rsidRPr="00635B72">
        <w:rPr>
          <w:rFonts w:ascii="Times New Roman" w:hAnsi="Times New Roman" w:cs="Times New Roman"/>
          <w:sz w:val="24"/>
          <w:szCs w:val="24"/>
        </w:rPr>
        <w:t>clients.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network of Geojit covers more than 300 cities in states in India such as Andhra Pradesh, Bihar, Chhattisgarh, Goa, Gujarat, Haryana, Jammu and Kashmir, Karnataka, Kerala, Madhya Pradesh, Maharashtra, New Delhi, Orissa, Punjab, Rajasthan, Uttar Pradesh, New Delhi, Tamil Nadu &amp; Pondicherry, </w:t>
      </w:r>
      <w:r w:rsidR="2F722465" w:rsidRPr="00635B72">
        <w:rPr>
          <w:rFonts w:ascii="Times New Roman" w:hAnsi="Times New Roman" w:cs="Times New Roman"/>
          <w:sz w:val="24"/>
          <w:szCs w:val="24"/>
        </w:rPr>
        <w:t>Telangana, Uttaranchal</w:t>
      </w:r>
      <w:r w:rsidRPr="00635B72">
        <w:rPr>
          <w:rFonts w:ascii="Times New Roman" w:hAnsi="Times New Roman" w:cs="Times New Roman"/>
          <w:sz w:val="24"/>
          <w:szCs w:val="24"/>
        </w:rPr>
        <w:t xml:space="preserve"> and </w:t>
      </w:r>
      <w:r w:rsidR="3369E806" w:rsidRPr="00635B72">
        <w:rPr>
          <w:rFonts w:ascii="Times New Roman" w:hAnsi="Times New Roman" w:cs="Times New Roman"/>
          <w:sz w:val="24"/>
          <w:szCs w:val="24"/>
        </w:rPr>
        <w:t>West Bengal</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company has B2B partnerships with a </w:t>
      </w:r>
      <w:r w:rsidR="33A4FE86" w:rsidRPr="00635B72">
        <w:rPr>
          <w:rFonts w:ascii="Times New Roman" w:hAnsi="Times New Roman" w:cs="Times New Roman"/>
          <w:sz w:val="24"/>
          <w:szCs w:val="24"/>
        </w:rPr>
        <w:t>number of</w:t>
      </w:r>
      <w:r w:rsidRPr="00635B72">
        <w:rPr>
          <w:rFonts w:ascii="Times New Roman" w:hAnsi="Times New Roman" w:cs="Times New Roman"/>
          <w:sz w:val="24"/>
          <w:szCs w:val="24"/>
        </w:rPr>
        <w:t xml:space="preserve"> banks such as Axis Bank (the partnership</w:t>
      </w:r>
      <w:r w:rsidR="2D231727"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received </w:t>
      </w:r>
      <w:r w:rsidR="633812EE" w:rsidRPr="00635B72">
        <w:rPr>
          <w:rFonts w:ascii="Times New Roman" w:hAnsi="Times New Roman" w:cs="Times New Roman"/>
          <w:sz w:val="24"/>
          <w:szCs w:val="24"/>
        </w:rPr>
        <w:t>IBA recognition</w:t>
      </w:r>
      <w:r w:rsidRPr="00635B72">
        <w:rPr>
          <w:rFonts w:ascii="Times New Roman" w:hAnsi="Times New Roman" w:cs="Times New Roman"/>
          <w:sz w:val="24"/>
          <w:szCs w:val="24"/>
        </w:rPr>
        <w:t xml:space="preserve"> 2007 &amp; 2008), Federal</w:t>
      </w:r>
      <w:r w:rsidR="2BA1276D" w:rsidRPr="00635B72">
        <w:rPr>
          <w:rFonts w:ascii="Times New Roman" w:hAnsi="Times New Roman" w:cs="Times New Roman"/>
          <w:sz w:val="24"/>
          <w:szCs w:val="24"/>
        </w:rPr>
        <w:t xml:space="preserve"> </w:t>
      </w:r>
      <w:r w:rsidRPr="00635B72">
        <w:rPr>
          <w:rFonts w:ascii="Times New Roman" w:hAnsi="Times New Roman" w:cs="Times New Roman"/>
          <w:sz w:val="24"/>
          <w:szCs w:val="24"/>
        </w:rPr>
        <w:t>Bank, Andhra</w:t>
      </w:r>
      <w:r w:rsidR="1BC6BAF0"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Bank, </w:t>
      </w:r>
      <w:r w:rsidR="0D84A05E" w:rsidRPr="00635B72">
        <w:rPr>
          <w:rFonts w:ascii="Times New Roman" w:hAnsi="Times New Roman" w:cs="Times New Roman"/>
          <w:sz w:val="24"/>
          <w:szCs w:val="24"/>
        </w:rPr>
        <w:t xml:space="preserve">Oriental </w:t>
      </w:r>
      <w:r w:rsidR="1747D8EA" w:rsidRPr="00635B72">
        <w:rPr>
          <w:rFonts w:ascii="Times New Roman" w:hAnsi="Times New Roman" w:cs="Times New Roman"/>
          <w:sz w:val="24"/>
          <w:szCs w:val="24"/>
        </w:rPr>
        <w:t>Bank of</w:t>
      </w:r>
      <w:r w:rsidR="5924B48C" w:rsidRPr="00635B72">
        <w:rPr>
          <w:rFonts w:ascii="Times New Roman" w:hAnsi="Times New Roman" w:cs="Times New Roman"/>
          <w:sz w:val="24"/>
          <w:szCs w:val="24"/>
        </w:rPr>
        <w:t xml:space="preserve"> </w:t>
      </w:r>
      <w:r w:rsidR="64BE4C2F" w:rsidRPr="00635B72">
        <w:rPr>
          <w:rFonts w:ascii="Times New Roman" w:hAnsi="Times New Roman" w:cs="Times New Roman"/>
          <w:sz w:val="24"/>
          <w:szCs w:val="24"/>
        </w:rPr>
        <w:t xml:space="preserve">Commerce, </w:t>
      </w:r>
      <w:r w:rsidR="24985E1D" w:rsidRPr="00635B72">
        <w:rPr>
          <w:rFonts w:ascii="Times New Roman" w:hAnsi="Times New Roman" w:cs="Times New Roman"/>
          <w:sz w:val="24"/>
          <w:szCs w:val="24"/>
        </w:rPr>
        <w:t>SVC Bank (</w:t>
      </w:r>
      <w:r w:rsidRPr="00635B72">
        <w:rPr>
          <w:rFonts w:ascii="Times New Roman" w:hAnsi="Times New Roman" w:cs="Times New Roman"/>
          <w:sz w:val="24"/>
          <w:szCs w:val="24"/>
        </w:rPr>
        <w:t>Shamrao</w:t>
      </w:r>
      <w:r w:rsidR="60145235" w:rsidRPr="00635B72">
        <w:rPr>
          <w:rFonts w:ascii="Times New Roman" w:hAnsi="Times New Roman" w:cs="Times New Roman"/>
          <w:sz w:val="24"/>
          <w:szCs w:val="24"/>
        </w:rPr>
        <w:t xml:space="preserve"> </w:t>
      </w:r>
      <w:r w:rsidRPr="00635B72">
        <w:rPr>
          <w:rFonts w:ascii="Times New Roman" w:hAnsi="Times New Roman" w:cs="Times New Roman"/>
          <w:sz w:val="24"/>
          <w:szCs w:val="24"/>
        </w:rPr>
        <w:t>Vithal Co-</w:t>
      </w:r>
      <w:r w:rsidR="35E88078" w:rsidRPr="00635B72">
        <w:rPr>
          <w:rFonts w:ascii="Times New Roman" w:hAnsi="Times New Roman" w:cs="Times New Roman"/>
          <w:sz w:val="24"/>
          <w:szCs w:val="24"/>
        </w:rPr>
        <w:t>operative Bank</w:t>
      </w:r>
      <w:r w:rsidRPr="00635B72">
        <w:rPr>
          <w:rFonts w:ascii="Times New Roman" w:hAnsi="Times New Roman" w:cs="Times New Roman"/>
          <w:sz w:val="24"/>
          <w:szCs w:val="24"/>
        </w:rPr>
        <w:t xml:space="preserve">), Corporation Bank, South Indian Bank and </w:t>
      </w:r>
      <w:r w:rsidR="4C9DFC30" w:rsidRPr="00635B72">
        <w:rPr>
          <w:rFonts w:ascii="Times New Roman" w:hAnsi="Times New Roman" w:cs="Times New Roman"/>
          <w:sz w:val="24"/>
          <w:szCs w:val="24"/>
        </w:rPr>
        <w:t>IndusInd Bank</w:t>
      </w:r>
      <w:r w:rsidRPr="00635B72">
        <w:rPr>
          <w:rFonts w:ascii="Times New Roman" w:hAnsi="Times New Roman" w:cs="Times New Roman"/>
          <w:sz w:val="24"/>
          <w:szCs w:val="24"/>
        </w:rPr>
        <w:t>.</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Vision</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vision of Geojit Financial Services is to help customers create long-term wealth and secure their financial future by providing reliable, transparent, and suitable investment services. The company aims to make financial markets more accessible to individual investors through technology, research support, and professional guidance. Geojit focuses on empowering investors to make informed investment decisions according to their financial goals and risk capacity. </w:t>
      </w:r>
    </w:p>
    <w:p w:rsidR="00F5025E" w:rsidRPr="00635B72" w:rsidRDefault="00F5025E" w:rsidP="00275966">
      <w:pPr>
        <w:spacing w:before="240" w:line="360" w:lineRule="auto"/>
        <w:jc w:val="both"/>
        <w:rPr>
          <w:rFonts w:ascii="Times New Roman" w:hAnsi="Times New Roman" w:cs="Times New Roman"/>
          <w:sz w:val="24"/>
          <w:szCs w:val="24"/>
        </w:rPr>
      </w:pP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Mission</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mission of Geojit Financial Services is to provide a wide range of investment and financial solutions to customers with trust, transparency, and professional support. The company offers services such as equity trading, mutual funds, derivatives, portfolio management, insurance, and investment advisory services. Its mission is to guide investors in selecting suitable financial products and support them in their journey towards wealth creation.</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NATURE OF BUSINESS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Geojit Financial Services is a financial service company that provides a wide range of investment and wealth management services to individual and institutional customers. The company mainly operates in the capital market and offers services related to stock broking, mutual funds, portfolio management, investment advisory, derivatives, commodities, insurance, and financial planning. It acts as an intermediary between investors and financial markets by helping customers invest in different financial products according to their needs and risk capacity.</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nature of business of Geojit Financial Services is mainly service-oriented. The company does not manufacture physical goods; instead, it provides financial and investment-related services to customers. It helps investors to buy and sell shares, invest in mutual funds, trade in derivatives, and manage their investment portfolios. The company also provides research reports, market information, online trading facilities, and professional guidance to support investment decisions.</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GROWTH AND EXPANSION</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 1994, Geojit became a public limited company with a new name - Geojit Securities Ltd.  It was the first a brokerage firm that became a corporate in Kochi and one of the firsts in India. In 1995, Kerala State Industrial Development Corporation (KSIDC) became a co- promoter of Geojit by acquiring 22% stake in the company. This is the only instance of a government entity participating in the equity of a </w:t>
      </w:r>
      <w:r w:rsidR="1B50F633" w:rsidRPr="00635B72">
        <w:rPr>
          <w:rFonts w:ascii="Times New Roman" w:hAnsi="Times New Roman" w:cs="Times New Roman"/>
          <w:sz w:val="24"/>
          <w:szCs w:val="24"/>
        </w:rPr>
        <w:t>stock broking</w:t>
      </w:r>
      <w:r w:rsidRPr="00635B72">
        <w:rPr>
          <w:rFonts w:ascii="Times New Roman" w:hAnsi="Times New Roman" w:cs="Times New Roman"/>
          <w:sz w:val="24"/>
          <w:szCs w:val="24"/>
        </w:rPr>
        <w:t xml:space="preserve"> company.  </w:t>
      </w:r>
      <w:r w:rsidR="300CA353" w:rsidRPr="00635B72">
        <w:rPr>
          <w:rFonts w:ascii="Times New Roman" w:hAnsi="Times New Roman" w:cs="Times New Roman"/>
          <w:sz w:val="24"/>
          <w:szCs w:val="24"/>
        </w:rPr>
        <w:t>A P</w:t>
      </w:r>
      <w:r w:rsidRPr="00635B72">
        <w:rPr>
          <w:rFonts w:ascii="Times New Roman" w:hAnsi="Times New Roman" w:cs="Times New Roman"/>
          <w:sz w:val="24"/>
          <w:szCs w:val="24"/>
        </w:rPr>
        <w:t xml:space="preserve"> </w:t>
      </w:r>
      <w:r w:rsidR="3DD40BB7" w:rsidRPr="00635B72">
        <w:rPr>
          <w:rFonts w:ascii="Times New Roman" w:hAnsi="Times New Roman" w:cs="Times New Roman"/>
          <w:sz w:val="24"/>
          <w:szCs w:val="24"/>
        </w:rPr>
        <w:t>Kurian who</w:t>
      </w:r>
      <w:r w:rsidRPr="00635B72">
        <w:rPr>
          <w:rFonts w:ascii="Times New Roman" w:hAnsi="Times New Roman" w:cs="Times New Roman"/>
          <w:sz w:val="24"/>
          <w:szCs w:val="24"/>
        </w:rPr>
        <w:t xml:space="preserve"> retired from UTI as its Executive Trustee joined the board of the company as an independent director </w:t>
      </w:r>
      <w:r w:rsidR="70250C50" w:rsidRPr="00635B72">
        <w:rPr>
          <w:rFonts w:ascii="Times New Roman" w:hAnsi="Times New Roman" w:cs="Times New Roman"/>
          <w:sz w:val="24"/>
          <w:szCs w:val="24"/>
        </w:rPr>
        <w:t>and Chairman</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 xml:space="preserve">In October 1995, Geojit went public by issuing 9,50,000 shares of Rs.10 each </w:t>
      </w:r>
      <w:r w:rsidR="6C671819" w:rsidRPr="00635B72">
        <w:rPr>
          <w:rFonts w:ascii="Times New Roman" w:hAnsi="Times New Roman" w:cs="Times New Roman"/>
          <w:sz w:val="24"/>
          <w:szCs w:val="24"/>
        </w:rPr>
        <w:t>to gain</w:t>
      </w:r>
      <w:r w:rsidRPr="00635B72">
        <w:rPr>
          <w:rFonts w:ascii="Times New Roman" w:hAnsi="Times New Roman" w:cs="Times New Roman"/>
          <w:sz w:val="24"/>
          <w:szCs w:val="24"/>
        </w:rPr>
        <w:t xml:space="preserve"> access to more capital. Shares of the company were listed in Cochin, Chennai and Delhi exchanges. The IPO was </w:t>
      </w:r>
      <w:r w:rsidR="72063ECA" w:rsidRPr="00635B72">
        <w:rPr>
          <w:rFonts w:ascii="Times New Roman" w:hAnsi="Times New Roman" w:cs="Times New Roman"/>
          <w:sz w:val="24"/>
          <w:szCs w:val="24"/>
        </w:rPr>
        <w:t>oversubscribed</w:t>
      </w:r>
      <w:r w:rsidRPr="00635B72">
        <w:rPr>
          <w:rFonts w:ascii="Times New Roman" w:hAnsi="Times New Roman" w:cs="Times New Roman"/>
          <w:sz w:val="24"/>
          <w:szCs w:val="24"/>
        </w:rPr>
        <w:t xml:space="preserve"> 15 times. In the same year, Geojit became a member of the NSE and </w:t>
      </w:r>
      <w:r w:rsidR="0347E7C8" w:rsidRPr="00635B72">
        <w:rPr>
          <w:rFonts w:ascii="Times New Roman" w:hAnsi="Times New Roman" w:cs="Times New Roman"/>
          <w:sz w:val="24"/>
          <w:szCs w:val="24"/>
        </w:rPr>
        <w:t>opened</w:t>
      </w:r>
      <w:r w:rsidRPr="00635B72">
        <w:rPr>
          <w:rFonts w:ascii="Times New Roman" w:hAnsi="Times New Roman" w:cs="Times New Roman"/>
          <w:sz w:val="24"/>
          <w:szCs w:val="24"/>
        </w:rPr>
        <w:t xml:space="preserve"> its first terminal </w:t>
      </w:r>
      <w:r w:rsidR="72B6CA6A" w:rsidRPr="00635B72">
        <w:rPr>
          <w:rFonts w:ascii="Times New Roman" w:hAnsi="Times New Roman" w:cs="Times New Roman"/>
          <w:sz w:val="24"/>
          <w:szCs w:val="24"/>
        </w:rPr>
        <w:t>at Cochin</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From 1996 onwards, the company focused on expanding its presence as well as </w:t>
      </w:r>
      <w:r w:rsidR="270B4B27" w:rsidRPr="00635B72">
        <w:rPr>
          <w:rFonts w:ascii="Times New Roman" w:hAnsi="Times New Roman" w:cs="Times New Roman"/>
          <w:sz w:val="24"/>
          <w:szCs w:val="24"/>
        </w:rPr>
        <w:t>products and services</w:t>
      </w:r>
      <w:r w:rsidRPr="00635B72">
        <w:rPr>
          <w:rFonts w:ascii="Times New Roman" w:hAnsi="Times New Roman" w:cs="Times New Roman"/>
          <w:sz w:val="24"/>
          <w:szCs w:val="24"/>
        </w:rPr>
        <w:t>.</w:t>
      </w:r>
      <w:r w:rsidR="710B65D5"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w:t>
      </w:r>
      <w:r w:rsidR="39EC040B" w:rsidRPr="00635B72">
        <w:rPr>
          <w:rFonts w:ascii="Times New Roman" w:hAnsi="Times New Roman" w:cs="Times New Roman"/>
          <w:sz w:val="24"/>
          <w:szCs w:val="24"/>
        </w:rPr>
        <w:t xml:space="preserve"> </w:t>
      </w:r>
      <w:r w:rsidRPr="00635B72">
        <w:rPr>
          <w:rFonts w:ascii="Times New Roman" w:hAnsi="Times New Roman" w:cs="Times New Roman"/>
          <w:sz w:val="24"/>
          <w:szCs w:val="24"/>
        </w:rPr>
        <w:t>started</w:t>
      </w:r>
      <w:r w:rsidR="299E5145" w:rsidRPr="00635B72">
        <w:rPr>
          <w:rFonts w:ascii="Times New Roman" w:hAnsi="Times New Roman" w:cs="Times New Roman"/>
          <w:sz w:val="24"/>
          <w:szCs w:val="24"/>
        </w:rPr>
        <w:t xml:space="preserve"> </w:t>
      </w:r>
      <w:r w:rsidRPr="00635B72">
        <w:rPr>
          <w:rFonts w:ascii="Times New Roman" w:hAnsi="Times New Roman" w:cs="Times New Roman"/>
          <w:sz w:val="24"/>
          <w:szCs w:val="24"/>
        </w:rPr>
        <w:t>depository</w:t>
      </w:r>
      <w:r w:rsidR="061CE973" w:rsidRPr="00635B72">
        <w:rPr>
          <w:rFonts w:ascii="Times New Roman" w:hAnsi="Times New Roman" w:cs="Times New Roman"/>
          <w:sz w:val="24"/>
          <w:szCs w:val="24"/>
        </w:rPr>
        <w:t xml:space="preserve"> </w:t>
      </w:r>
      <w:r w:rsidRPr="00635B72">
        <w:rPr>
          <w:rFonts w:ascii="Times New Roman" w:hAnsi="Times New Roman" w:cs="Times New Roman"/>
          <w:sz w:val="24"/>
          <w:szCs w:val="24"/>
        </w:rPr>
        <w:t>services</w:t>
      </w:r>
      <w:r w:rsidR="3ADAC731" w:rsidRPr="00635B72">
        <w:rPr>
          <w:rFonts w:ascii="Times New Roman" w:hAnsi="Times New Roman" w:cs="Times New Roman"/>
          <w:sz w:val="24"/>
          <w:szCs w:val="24"/>
        </w:rPr>
        <w:t xml:space="preserve"> </w:t>
      </w:r>
      <w:r w:rsidRPr="00635B72">
        <w:rPr>
          <w:rFonts w:ascii="Times New Roman" w:hAnsi="Times New Roman" w:cs="Times New Roman"/>
          <w:sz w:val="24"/>
          <w:szCs w:val="24"/>
        </w:rPr>
        <w:t>in</w:t>
      </w:r>
      <w:r w:rsidR="6287978F" w:rsidRPr="00635B72">
        <w:rPr>
          <w:rFonts w:ascii="Times New Roman" w:hAnsi="Times New Roman" w:cs="Times New Roman"/>
          <w:sz w:val="24"/>
          <w:szCs w:val="24"/>
        </w:rPr>
        <w:t xml:space="preserve"> 1997, offering customers Demat facility</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 1999, the company took membership in the Bombay Stock Exchange (BSE) and its shares were listed in the BSE in 2000[21]. In February 2000, </w:t>
      </w:r>
      <w:r w:rsidR="1B9487F6" w:rsidRPr="00635B72">
        <w:rPr>
          <w:rFonts w:ascii="Times New Roman" w:hAnsi="Times New Roman" w:cs="Times New Roman"/>
          <w:sz w:val="24"/>
          <w:szCs w:val="24"/>
        </w:rPr>
        <w:t>Geojit launched</w:t>
      </w:r>
      <w:r w:rsidRPr="00635B72">
        <w:rPr>
          <w:rFonts w:ascii="Times New Roman" w:hAnsi="Times New Roman" w:cs="Times New Roman"/>
          <w:sz w:val="24"/>
          <w:szCs w:val="24"/>
        </w:rPr>
        <w:t xml:space="preserve"> online  trading. In 2003, the company ventured into commodity trading with the launch of rubber trading. In</w:t>
      </w:r>
      <w:r w:rsidR="47A412F7"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2004, commodity trading in cardamom was launched. In 2005, </w:t>
      </w:r>
      <w:r w:rsidR="55685251" w:rsidRPr="00635B72">
        <w:rPr>
          <w:rFonts w:ascii="Times New Roman" w:hAnsi="Times New Roman" w:cs="Times New Roman"/>
          <w:sz w:val="24"/>
          <w:szCs w:val="24"/>
        </w:rPr>
        <w:t>Rakesh Jhunjhunwala</w:t>
      </w:r>
      <w:r w:rsidRPr="00635B72">
        <w:rPr>
          <w:rFonts w:ascii="Times New Roman" w:hAnsi="Times New Roman" w:cs="Times New Roman"/>
          <w:sz w:val="24"/>
          <w:szCs w:val="24"/>
        </w:rPr>
        <w:t xml:space="preserve">, a renowned Indian Equity Investor, took a significant stake in the company and joined the Board of Directors of </w:t>
      </w:r>
      <w:r w:rsidR="2297B3E5" w:rsidRPr="00635B72">
        <w:rPr>
          <w:rFonts w:ascii="Times New Roman" w:hAnsi="Times New Roman" w:cs="Times New Roman"/>
          <w:sz w:val="24"/>
          <w:szCs w:val="24"/>
        </w:rPr>
        <w:t>the company</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 2005, Geojit launches Geojit Technologies, another sister concern with an aim to  develop state-of-the-art technologies for the financial services field. Geojit Credits, a subsidiary of Geojit Financial Services Ltd., was also launched after registering with the Reserve Bank of India as a Non-Banking Financial Company (NBFC). In the same year, Geojit shares were also listed on National Stock Exchange of </w:t>
      </w:r>
      <w:r w:rsidR="7EDC4FCA" w:rsidRPr="00635B72">
        <w:rPr>
          <w:rFonts w:ascii="Times New Roman" w:hAnsi="Times New Roman" w:cs="Times New Roman"/>
          <w:sz w:val="24"/>
          <w:szCs w:val="24"/>
        </w:rPr>
        <w:t>India Limited</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 2012, Geojit launched Qualified Foreign Investors (QFI) </w:t>
      </w:r>
      <w:r w:rsidR="39736912" w:rsidRPr="00635B72">
        <w:rPr>
          <w:rFonts w:ascii="Times New Roman" w:hAnsi="Times New Roman" w:cs="Times New Roman"/>
          <w:sz w:val="24"/>
          <w:szCs w:val="24"/>
        </w:rPr>
        <w:t>Investment service</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In 2018, the company launched Funds Genie, a Mutual Funds advisory and investment platform.</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COMPANY MEMBERSHIP</w:t>
      </w:r>
      <w:r w:rsidRPr="00635B72">
        <w:rPr>
          <w:rFonts w:ascii="Times New Roman" w:hAnsi="Times New Roman" w:cs="Times New Roman"/>
          <w:b/>
          <w:bCs/>
          <w:sz w:val="24"/>
          <w:szCs w:val="24"/>
        </w:rPr>
        <w:tab/>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company is a member of:</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t>
      </w:r>
      <w:r w:rsidRPr="00635B72">
        <w:rPr>
          <w:rFonts w:ascii="Times New Roman" w:hAnsi="Times New Roman" w:cs="Times New Roman"/>
          <w:sz w:val="24"/>
          <w:szCs w:val="24"/>
        </w:rPr>
        <w:tab/>
        <w:t>BSE</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t>
      </w:r>
      <w:r w:rsidRPr="00635B72">
        <w:rPr>
          <w:rFonts w:ascii="Times New Roman" w:hAnsi="Times New Roman" w:cs="Times New Roman"/>
          <w:sz w:val="24"/>
          <w:szCs w:val="24"/>
        </w:rPr>
        <w:tab/>
        <w:t>NSE</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t>
      </w:r>
      <w:r w:rsidRPr="00635B72">
        <w:rPr>
          <w:rFonts w:ascii="Times New Roman" w:hAnsi="Times New Roman" w:cs="Times New Roman"/>
          <w:sz w:val="24"/>
          <w:szCs w:val="24"/>
        </w:rPr>
        <w:tab/>
        <w:t>CSDL</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t>
      </w:r>
      <w:r w:rsidRPr="00635B72">
        <w:rPr>
          <w:rFonts w:ascii="Times New Roman" w:hAnsi="Times New Roman" w:cs="Times New Roman"/>
          <w:sz w:val="24"/>
          <w:szCs w:val="24"/>
        </w:rPr>
        <w:tab/>
        <w:t>NSDL</w:t>
      </w:r>
    </w:p>
    <w:p w:rsidR="00DD1AC8" w:rsidRPr="00635B72" w:rsidRDefault="00DD1AC8" w:rsidP="00275966">
      <w:pPr>
        <w:spacing w:before="240" w:line="360" w:lineRule="auto"/>
        <w:jc w:val="both"/>
        <w:rPr>
          <w:rFonts w:ascii="Times New Roman" w:hAnsi="Times New Roman" w:cs="Times New Roman"/>
          <w:b/>
          <w:bCs/>
          <w:sz w:val="24"/>
          <w:szCs w:val="24"/>
        </w:rPr>
      </w:pP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EXPANDING RANGE OF ONLINE PRODUCTS AND SERVICES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 trendsetter and pioneer in the capital markets, Geojit has proven expertise in providing online services. In the year 2000, the company became the first stockbroker in the country to offer Internet Trading by integrating the first Bank Payment Gateway. </w:t>
      </w:r>
      <w:r w:rsidR="0C95F924" w:rsidRPr="00635B72">
        <w:rPr>
          <w:rFonts w:ascii="Times New Roman" w:hAnsi="Times New Roman" w:cs="Times New Roman"/>
          <w:sz w:val="24"/>
          <w:szCs w:val="24"/>
        </w:rPr>
        <w:t>In 2010</w:t>
      </w:r>
      <w:r w:rsidRPr="00635B72">
        <w:rPr>
          <w:rFonts w:ascii="Times New Roman" w:hAnsi="Times New Roman" w:cs="Times New Roman"/>
          <w:sz w:val="24"/>
          <w:szCs w:val="24"/>
        </w:rPr>
        <w:t xml:space="preserve">,  it became the first company in India to launch trading through mobile devices. In 2013, the company again broke new ground, by being the first to launch India’s first social media (Facebook) trading </w:t>
      </w:r>
      <w:r w:rsidR="35DED1DA" w:rsidRPr="00635B72">
        <w:rPr>
          <w:rFonts w:ascii="Times New Roman" w:hAnsi="Times New Roman" w:cs="Times New Roman"/>
          <w:sz w:val="24"/>
          <w:szCs w:val="24"/>
        </w:rPr>
        <w:t>application suite</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Currently, clients can trade online in equities, derivatives, currency futures, mutual funds and IPOs, and select from multiple bank payment gateways for online transfer of funds. Strategic B2B agreements with South Indian Bank, Corporation Bank and Federal Bank enable the respective bank’s clients to open integrated 3-in-1 accounts to seamlessly trade via our sophisticated Online Trading platform.</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Note:</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Certified financial advisors help clients to arrive at the right financial  solution  to meet  their individual needs. The wide range of products and services on  offer  includes:  Equities, Derivatives, Currency Futures, Custody Accounts, Mutual Funds, Life Insurance &amp; General Insurance, e-Insurance, IPOs, Portfolio Management Services,  Property Services, Margin Trading and Loans </w:t>
      </w:r>
      <w:r w:rsidR="7E439C5D" w:rsidRPr="00635B72">
        <w:rPr>
          <w:rFonts w:ascii="Times New Roman" w:hAnsi="Times New Roman" w:cs="Times New Roman"/>
          <w:sz w:val="24"/>
          <w:szCs w:val="24"/>
        </w:rPr>
        <w:t>against Shares</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A GROWING FOOTPRINT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With a presence in almost all the major states of India, the company’s network of offices presently covers 19 States and 2 Union Territories: Andhra Pradesh, Goa, Gujarat,  Haryana, Jammu &amp; Kashmir, Karnataka, Kerala, Madhya Pradesh, Maharashtra, New Delhi, Orissa, Punjab, Rajasthan, Tamil Nadu, Uttar Pradesh, Uttarakhand, Jharkhand, Telangana and West Bengal, Pondicherry </w:t>
      </w:r>
      <w:r w:rsidR="6A6226EF" w:rsidRPr="00635B72">
        <w:rPr>
          <w:rFonts w:ascii="Times New Roman" w:hAnsi="Times New Roman" w:cs="Times New Roman"/>
          <w:sz w:val="24"/>
          <w:szCs w:val="24"/>
        </w:rPr>
        <w:t>and Chandigarh</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 </w:t>
      </w:r>
      <w:r w:rsidR="005F1AFF" w:rsidRPr="00635B72">
        <w:rPr>
          <w:rFonts w:ascii="Times New Roman" w:hAnsi="Times New Roman" w:cs="Times New Roman"/>
          <w:b/>
          <w:bCs/>
          <w:sz w:val="24"/>
          <w:szCs w:val="24"/>
        </w:rPr>
        <w:t>SPECIALTIES</w:t>
      </w:r>
      <w:r w:rsidRPr="00635B72">
        <w:rPr>
          <w:rFonts w:ascii="Times New Roman" w:hAnsi="Times New Roman" w:cs="Times New Roman"/>
          <w:b/>
          <w:bCs/>
          <w:sz w:val="24"/>
          <w:szCs w:val="24"/>
        </w:rPr>
        <w:t xml:space="preserve"> OF GEOJIT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30 years’ experience in the Indian </w:t>
      </w:r>
      <w:r w:rsidR="77147981" w:rsidRPr="00635B72">
        <w:rPr>
          <w:rFonts w:ascii="Times New Roman" w:hAnsi="Times New Roman" w:cs="Times New Roman"/>
          <w:sz w:val="24"/>
          <w:szCs w:val="24"/>
        </w:rPr>
        <w:t>capital market</w:t>
      </w:r>
      <w:r w:rsidRPr="00635B72">
        <w:rPr>
          <w:rFonts w:ascii="Times New Roman" w:hAnsi="Times New Roman" w:cs="Times New Roman"/>
          <w:sz w:val="24"/>
          <w:szCs w:val="24"/>
        </w:rPr>
        <w:t>.</w:t>
      </w:r>
    </w:p>
    <w:p w:rsidR="00CA5082" w:rsidRPr="00635B72" w:rsidRDefault="00CA5082" w:rsidP="45945E8F">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A pioneer in online trading since the year</w:t>
      </w:r>
      <w:r w:rsidR="2D68A953" w:rsidRPr="00635B72">
        <w:rPr>
          <w:rFonts w:ascii="Times New Roman" w:hAnsi="Times New Roman" w:cs="Times New Roman"/>
          <w:sz w:val="24"/>
          <w:szCs w:val="24"/>
        </w:rPr>
        <w:t xml:space="preserve"> </w:t>
      </w:r>
      <w:r w:rsidRPr="00635B72">
        <w:rPr>
          <w:rFonts w:ascii="Times New Roman" w:hAnsi="Times New Roman" w:cs="Times New Roman"/>
          <w:sz w:val="24"/>
          <w:szCs w:val="24"/>
        </w:rPr>
        <w:t>2000.</w:t>
      </w:r>
    </w:p>
    <w:p w:rsidR="00CA5082" w:rsidRPr="00635B72" w:rsidRDefault="278865E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Strong shareholders</w:t>
      </w:r>
      <w:r w:rsidR="00CA5082"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Wide range </w:t>
      </w:r>
      <w:r w:rsidR="22313544" w:rsidRPr="00635B72">
        <w:rPr>
          <w:rFonts w:ascii="Times New Roman" w:hAnsi="Times New Roman" w:cs="Times New Roman"/>
          <w:sz w:val="24"/>
          <w:szCs w:val="24"/>
        </w:rPr>
        <w:t>of products</w:t>
      </w:r>
      <w:r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 xml:space="preserve">Attractive </w:t>
      </w:r>
      <w:r w:rsidR="602D1827" w:rsidRPr="00635B72">
        <w:rPr>
          <w:rFonts w:ascii="Times New Roman" w:hAnsi="Times New Roman" w:cs="Times New Roman"/>
          <w:sz w:val="24"/>
          <w:szCs w:val="24"/>
        </w:rPr>
        <w:t>brokerage tariffs</w:t>
      </w:r>
      <w:r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Learn </w:t>
      </w:r>
      <w:r w:rsidR="0A6DC9E4" w:rsidRPr="00635B72">
        <w:rPr>
          <w:rFonts w:ascii="Times New Roman" w:hAnsi="Times New Roman" w:cs="Times New Roman"/>
          <w:sz w:val="24"/>
          <w:szCs w:val="24"/>
        </w:rPr>
        <w:t>the craft</w:t>
      </w:r>
      <w:r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Multichannel service- internet, phone, </w:t>
      </w:r>
      <w:r w:rsidR="1195E0E3" w:rsidRPr="00635B72">
        <w:rPr>
          <w:rFonts w:ascii="Times New Roman" w:hAnsi="Times New Roman" w:cs="Times New Roman"/>
          <w:sz w:val="24"/>
          <w:szCs w:val="24"/>
        </w:rPr>
        <w:t>branch trading</w:t>
      </w:r>
      <w:r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First </w:t>
      </w:r>
      <w:r w:rsidR="2B19F694" w:rsidRPr="00635B72">
        <w:rPr>
          <w:rFonts w:ascii="Times New Roman" w:hAnsi="Times New Roman" w:cs="Times New Roman"/>
          <w:sz w:val="24"/>
          <w:szCs w:val="24"/>
        </w:rPr>
        <w:t>mover advantage</w:t>
      </w:r>
      <w:r w:rsidRPr="00635B72">
        <w:rPr>
          <w:rFonts w:ascii="Times New Roman" w:hAnsi="Times New Roman" w:cs="Times New Roman"/>
          <w:sz w:val="24"/>
          <w:szCs w:val="24"/>
        </w:rPr>
        <w:t>.</w:t>
      </w:r>
    </w:p>
    <w:p w:rsidR="00CA5082" w:rsidRPr="00635B72" w:rsidRDefault="1EE2A6D9"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Wide network</w:t>
      </w:r>
      <w:r w:rsidR="00CA5082" w:rsidRPr="00635B72">
        <w:rPr>
          <w:rFonts w:ascii="Times New Roman" w:hAnsi="Times New Roman" w:cs="Times New Roman"/>
          <w:sz w:val="24"/>
          <w:szCs w:val="24"/>
        </w:rPr>
        <w:t>.</w:t>
      </w:r>
    </w:p>
    <w:p w:rsidR="00CA5082" w:rsidRPr="00635B72" w:rsidRDefault="00CA5082" w:rsidP="1E98F21E">
      <w:pPr>
        <w:pStyle w:val="ListParagraph"/>
        <w:numPr>
          <w:ilvl w:val="0"/>
          <w:numId w:val="8"/>
        </w:num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Wide range of </w:t>
      </w:r>
      <w:r w:rsidR="653C1FDE" w:rsidRPr="00635B72">
        <w:rPr>
          <w:rFonts w:ascii="Times New Roman" w:hAnsi="Times New Roman" w:cs="Times New Roman"/>
          <w:sz w:val="24"/>
          <w:szCs w:val="24"/>
        </w:rPr>
        <w:t>fund options</w:t>
      </w:r>
      <w:r w:rsidRPr="00635B72">
        <w:rPr>
          <w:rFonts w:ascii="Times New Roman" w:hAnsi="Times New Roman" w:cs="Times New Roman"/>
          <w:sz w:val="24"/>
          <w:szCs w:val="24"/>
        </w:rPr>
        <w:t>.</w:t>
      </w:r>
    </w:p>
    <w:p w:rsidR="00BF641D" w:rsidRPr="00635B72" w:rsidRDefault="00BF641D" w:rsidP="00BF641D">
      <w:pPr>
        <w:pStyle w:val="Heading2"/>
        <w:spacing w:line="360" w:lineRule="auto"/>
        <w:jc w:val="both"/>
        <w:rPr>
          <w:rFonts w:ascii="Times New Roman" w:hAnsi="Times New Roman" w:cs="Times New Roman"/>
          <w:b/>
          <w:bCs/>
          <w:color w:val="auto"/>
          <w:sz w:val="24"/>
          <w:szCs w:val="24"/>
        </w:rPr>
      </w:pPr>
      <w:r w:rsidRPr="00635B72">
        <w:rPr>
          <w:rFonts w:ascii="Times New Roman" w:hAnsi="Times New Roman" w:cs="Times New Roman"/>
          <w:b/>
          <w:bCs/>
          <w:color w:val="auto"/>
          <w:sz w:val="24"/>
          <w:szCs w:val="24"/>
        </w:rPr>
        <w:t xml:space="preserve">Milestones </w:t>
      </w:r>
    </w:p>
    <w:p w:rsidR="00BF641D" w:rsidRPr="00635B72" w:rsidRDefault="00CD71B4" w:rsidP="00BF641D">
      <w:pPr>
        <w:pStyle w:val="NormalWeb"/>
        <w:spacing w:line="360" w:lineRule="auto"/>
        <w:jc w:val="both"/>
      </w:pPr>
      <w:hyperlink r:id="rId9" w:tgtFrame="_new" w:history="1">
        <w:r w:rsidR="00BF641D" w:rsidRPr="00635B72">
          <w:rPr>
            <w:rStyle w:val="Hyperlink"/>
            <w:color w:val="auto"/>
          </w:rPr>
          <w:t>Geojit Financial Services Ltd.</w:t>
        </w:r>
      </w:hyperlink>
      <w:r w:rsidR="00BF641D" w:rsidRPr="00635B72">
        <w:t xml:space="preserve"> is one of the leading investment services companies in India. It was founded by C. J. George in 1987 and has grown from a small stock broking firm in Kerala into a well-known financial services company with operations across India and the Gulf region. The company provides services such as equity trading, mutual fund investment, derivatives, commodities, portfolio management, insurance distribution and financial planning. </w:t>
      </w:r>
    </w:p>
    <w:p w:rsidR="00BF641D" w:rsidRPr="00635B72" w:rsidRDefault="00BF641D" w:rsidP="00BF641D">
      <w:pPr>
        <w:pStyle w:val="Heading3"/>
        <w:spacing w:line="360" w:lineRule="auto"/>
        <w:jc w:val="both"/>
        <w:rPr>
          <w:rFonts w:ascii="Times New Roman" w:hAnsi="Times New Roman" w:cs="Times New Roman"/>
          <w:b/>
          <w:bCs/>
          <w:color w:val="auto"/>
          <w:sz w:val="24"/>
          <w:szCs w:val="24"/>
        </w:rPr>
      </w:pPr>
      <w:r w:rsidRPr="00635B72">
        <w:rPr>
          <w:rFonts w:ascii="Times New Roman" w:hAnsi="Times New Roman" w:cs="Times New Roman"/>
          <w:b/>
          <w:bCs/>
          <w:color w:val="auto"/>
          <w:sz w:val="24"/>
          <w:szCs w:val="24"/>
        </w:rPr>
        <w:t>Major Milestones</w:t>
      </w:r>
    </w:p>
    <w:p w:rsidR="00BF641D" w:rsidRPr="00635B72" w:rsidRDefault="00BF641D" w:rsidP="00BF641D">
      <w:pPr>
        <w:pStyle w:val="NormalWeb"/>
        <w:spacing w:line="360" w:lineRule="auto"/>
        <w:jc w:val="both"/>
        <w:rPr>
          <w:rStyle w:val="Strong"/>
        </w:rPr>
      </w:pPr>
      <w:r w:rsidRPr="00635B72">
        <w:rPr>
          <w:rStyle w:val="Strong"/>
        </w:rPr>
        <w:t>1987 – Establishment of Geojit</w:t>
      </w:r>
    </w:p>
    <w:p w:rsidR="00BF641D" w:rsidRPr="00635B72" w:rsidRDefault="00BF641D" w:rsidP="00BF641D">
      <w:pPr>
        <w:pStyle w:val="NormalWeb"/>
        <w:spacing w:line="360" w:lineRule="auto"/>
        <w:jc w:val="both"/>
      </w:pPr>
      <w:r w:rsidRPr="00635B72">
        <w:t>Geojit was started by C. J. George as a financial services and stock broking firm in Kerala. This marked the beginning of the company’s journey in the Indian capital market.</w:t>
      </w:r>
    </w:p>
    <w:p w:rsidR="00BF641D" w:rsidRPr="00635B72" w:rsidRDefault="00BF641D" w:rsidP="00BF641D">
      <w:pPr>
        <w:pStyle w:val="NormalWeb"/>
        <w:spacing w:line="360" w:lineRule="auto"/>
        <w:jc w:val="both"/>
        <w:rPr>
          <w:rStyle w:val="Strong"/>
        </w:rPr>
      </w:pPr>
      <w:r w:rsidRPr="00635B72">
        <w:rPr>
          <w:rStyle w:val="Strong"/>
        </w:rPr>
        <w:t>1988 – Formation as a Partnership Firm</w:t>
      </w:r>
    </w:p>
    <w:p w:rsidR="00BF641D" w:rsidRPr="00635B72" w:rsidRDefault="00BF641D" w:rsidP="00BF641D">
      <w:pPr>
        <w:pStyle w:val="NormalWeb"/>
        <w:spacing w:line="360" w:lineRule="auto"/>
        <w:jc w:val="both"/>
      </w:pPr>
      <w:r w:rsidRPr="00635B72">
        <w:t xml:space="preserve">The firm started functioning as Geojit &amp; Company with membership in the Cochin Stock Exchange. This helped the company enter the stock broking business in a formal way. </w:t>
      </w:r>
    </w:p>
    <w:p w:rsidR="00BF641D" w:rsidRPr="00635B72" w:rsidRDefault="00BF641D" w:rsidP="00BF641D">
      <w:pPr>
        <w:pStyle w:val="NormalWeb"/>
        <w:spacing w:line="360" w:lineRule="auto"/>
        <w:jc w:val="both"/>
        <w:rPr>
          <w:rStyle w:val="Strong"/>
        </w:rPr>
      </w:pPr>
      <w:r w:rsidRPr="00635B72">
        <w:rPr>
          <w:rStyle w:val="Strong"/>
        </w:rPr>
        <w:t>1994 – Incorporation as a Public Limited Company</w:t>
      </w:r>
    </w:p>
    <w:p w:rsidR="00BF641D" w:rsidRPr="00635B72" w:rsidRDefault="00BF641D" w:rsidP="00BF641D">
      <w:pPr>
        <w:pStyle w:val="NormalWeb"/>
        <w:spacing w:line="360" w:lineRule="auto"/>
        <w:jc w:val="both"/>
      </w:pPr>
      <w:r w:rsidRPr="00635B72">
        <w:t xml:space="preserve">Geojit was incorporated as a public limited company under the name Geojit Securities Limited on 24 November 1994. This was an important step in expanding its business operations. </w:t>
      </w:r>
    </w:p>
    <w:p w:rsidR="00BF641D" w:rsidRPr="00635B72" w:rsidRDefault="00BF641D" w:rsidP="00BF641D">
      <w:pPr>
        <w:pStyle w:val="NormalWeb"/>
        <w:spacing w:line="360" w:lineRule="auto"/>
        <w:jc w:val="both"/>
        <w:rPr>
          <w:rStyle w:val="Strong"/>
        </w:rPr>
      </w:pPr>
      <w:r w:rsidRPr="00635B72">
        <w:rPr>
          <w:rStyle w:val="Strong"/>
        </w:rPr>
        <w:t>1995 – Association with KSIDC</w:t>
      </w:r>
    </w:p>
    <w:p w:rsidR="00BF641D" w:rsidRPr="00635B72" w:rsidRDefault="00BF641D" w:rsidP="00BF641D">
      <w:pPr>
        <w:pStyle w:val="NormalWeb"/>
        <w:spacing w:line="360" w:lineRule="auto"/>
        <w:jc w:val="both"/>
      </w:pPr>
      <w:r w:rsidRPr="00635B72">
        <w:t xml:space="preserve">Kerala State Industrial Development Corporation became a co-promoter of Geojit. This strengthened the company’s credibility and supported its growth in the financial services sector. </w:t>
      </w:r>
    </w:p>
    <w:p w:rsidR="00DD1AC8" w:rsidRPr="00635B72" w:rsidRDefault="00DD1AC8" w:rsidP="00BF641D">
      <w:pPr>
        <w:pStyle w:val="NormalWeb"/>
        <w:spacing w:line="360" w:lineRule="auto"/>
        <w:jc w:val="both"/>
      </w:pPr>
    </w:p>
    <w:p w:rsidR="00BF641D" w:rsidRPr="00635B72" w:rsidRDefault="00BF641D" w:rsidP="00BF641D">
      <w:pPr>
        <w:pStyle w:val="NormalWeb"/>
        <w:spacing w:line="360" w:lineRule="auto"/>
        <w:jc w:val="both"/>
        <w:rPr>
          <w:rStyle w:val="Strong"/>
        </w:rPr>
      </w:pPr>
      <w:r w:rsidRPr="00635B72">
        <w:rPr>
          <w:rStyle w:val="Strong"/>
        </w:rPr>
        <w:lastRenderedPageBreak/>
        <w:t>1995 – Membership in National Stock Exchange</w:t>
      </w:r>
    </w:p>
    <w:p w:rsidR="00BF641D" w:rsidRPr="00635B72" w:rsidRDefault="00BF641D" w:rsidP="00BF641D">
      <w:pPr>
        <w:pStyle w:val="NormalWeb"/>
        <w:spacing w:line="360" w:lineRule="auto"/>
        <w:jc w:val="both"/>
      </w:pPr>
      <w:r w:rsidRPr="00635B72">
        <w:t>Geojit became a member of the National Stock Exchange and opened its first trading terminal at Cochin. This helped the company expand its stock market services.</w:t>
      </w:r>
    </w:p>
    <w:p w:rsidR="00BF641D" w:rsidRPr="00635B72" w:rsidRDefault="00BF641D" w:rsidP="00BF641D">
      <w:pPr>
        <w:pStyle w:val="NormalWeb"/>
        <w:spacing w:line="360" w:lineRule="auto"/>
        <w:jc w:val="both"/>
        <w:rPr>
          <w:rStyle w:val="Strong"/>
        </w:rPr>
      </w:pPr>
      <w:r w:rsidRPr="00635B72">
        <w:rPr>
          <w:rStyle w:val="Strong"/>
        </w:rPr>
        <w:t>1997 – Launch of Depository Services</w:t>
      </w:r>
    </w:p>
    <w:p w:rsidR="00BF641D" w:rsidRPr="00635B72" w:rsidRDefault="00BF641D" w:rsidP="00BF641D">
      <w:pPr>
        <w:pStyle w:val="NormalWeb"/>
        <w:spacing w:line="360" w:lineRule="auto"/>
        <w:jc w:val="both"/>
      </w:pPr>
      <w:r w:rsidRPr="00635B72">
        <w:t>The company started depository services and provided demat facilities to investors. This made shareholding and trading easier for customers.</w:t>
      </w:r>
    </w:p>
    <w:p w:rsidR="00BF641D" w:rsidRPr="00635B72" w:rsidRDefault="00BF641D" w:rsidP="00BF641D">
      <w:pPr>
        <w:pStyle w:val="NormalWeb"/>
        <w:spacing w:line="360" w:lineRule="auto"/>
        <w:jc w:val="both"/>
        <w:rPr>
          <w:rStyle w:val="Strong"/>
        </w:rPr>
      </w:pPr>
      <w:r w:rsidRPr="00635B72">
        <w:rPr>
          <w:rStyle w:val="Strong"/>
        </w:rPr>
        <w:t>1999–2000 – Membership and Listing in BSE</w:t>
      </w:r>
    </w:p>
    <w:p w:rsidR="00BF641D" w:rsidRPr="00635B72" w:rsidRDefault="00BF641D" w:rsidP="00BF641D">
      <w:pPr>
        <w:pStyle w:val="NormalWeb"/>
        <w:spacing w:line="360" w:lineRule="auto"/>
        <w:jc w:val="both"/>
      </w:pPr>
      <w:r w:rsidRPr="00635B72">
        <w:t>Geojit became a member of the Bombay Stock Exchange in 1999 and its shares were listed on BSE in 2000. This improved the company’s market presence.</w:t>
      </w:r>
    </w:p>
    <w:p w:rsidR="00BF641D" w:rsidRPr="00635B72" w:rsidRDefault="00BF641D" w:rsidP="00BF641D">
      <w:pPr>
        <w:pStyle w:val="NormalWeb"/>
        <w:spacing w:line="360" w:lineRule="auto"/>
        <w:jc w:val="both"/>
        <w:rPr>
          <w:rStyle w:val="Strong"/>
        </w:rPr>
      </w:pPr>
      <w:r w:rsidRPr="00635B72">
        <w:rPr>
          <w:rStyle w:val="Strong"/>
        </w:rPr>
        <w:t>2000 – Launch of Online Trading</w:t>
      </w:r>
    </w:p>
    <w:p w:rsidR="00BF641D" w:rsidRPr="00635B72" w:rsidRDefault="00BF641D" w:rsidP="00BF641D">
      <w:pPr>
        <w:pStyle w:val="NormalWeb"/>
        <w:spacing w:line="360" w:lineRule="auto"/>
        <w:jc w:val="both"/>
      </w:pPr>
      <w:r w:rsidRPr="00635B72">
        <w:t xml:space="preserve">Geojit became one of the first companies in India to introduce online trading facilities. This was a major technological achievement in the Indian stock broking industry. </w:t>
      </w:r>
    </w:p>
    <w:p w:rsidR="00BF641D" w:rsidRPr="00635B72" w:rsidRDefault="00BF641D" w:rsidP="00BF641D">
      <w:pPr>
        <w:pStyle w:val="NormalWeb"/>
        <w:spacing w:line="360" w:lineRule="auto"/>
        <w:jc w:val="both"/>
        <w:rPr>
          <w:rStyle w:val="Strong"/>
        </w:rPr>
      </w:pPr>
      <w:r w:rsidRPr="00635B72">
        <w:rPr>
          <w:rStyle w:val="Strong"/>
        </w:rPr>
        <w:t>2003–2004 – Entry into Commodity Trading</w:t>
      </w:r>
    </w:p>
    <w:p w:rsidR="00BF641D" w:rsidRPr="00635B72" w:rsidRDefault="00BF641D" w:rsidP="00BF641D">
      <w:pPr>
        <w:pStyle w:val="NormalWeb"/>
        <w:spacing w:line="360" w:lineRule="auto"/>
        <w:jc w:val="both"/>
      </w:pPr>
      <w:r w:rsidRPr="00635B72">
        <w:t>The company entered commodity trading by launching rubber trading in 2003 and cardamom trading in 2004. Later, it also became active in other commodities such as gold and silver.</w:t>
      </w:r>
    </w:p>
    <w:p w:rsidR="00BF641D" w:rsidRPr="00635B72" w:rsidRDefault="00BF641D" w:rsidP="00BF641D">
      <w:pPr>
        <w:pStyle w:val="NormalWeb"/>
        <w:spacing w:line="360" w:lineRule="auto"/>
        <w:jc w:val="both"/>
        <w:rPr>
          <w:rStyle w:val="Strong"/>
        </w:rPr>
      </w:pPr>
      <w:r w:rsidRPr="00635B72">
        <w:rPr>
          <w:rStyle w:val="Strong"/>
        </w:rPr>
        <w:t>2005 – Investment by Rakesh Jhunjhunwala</w:t>
      </w:r>
    </w:p>
    <w:p w:rsidR="00BF641D" w:rsidRPr="00635B72" w:rsidRDefault="00BF641D" w:rsidP="00BF641D">
      <w:pPr>
        <w:pStyle w:val="NormalWeb"/>
        <w:spacing w:line="360" w:lineRule="auto"/>
        <w:jc w:val="both"/>
      </w:pPr>
      <w:r w:rsidRPr="00635B72">
        <w:t xml:space="preserve">Rakesh Jhunjhunwala, a well-known Indian investor, acquired a significant stake in Geojit and joined the Board of Directors. This increased the company’s reputation in the capital market. </w:t>
      </w:r>
    </w:p>
    <w:p w:rsidR="00BF641D" w:rsidRPr="00635B72" w:rsidRDefault="00BF641D" w:rsidP="00BF641D">
      <w:pPr>
        <w:pStyle w:val="NormalWeb"/>
        <w:spacing w:line="360" w:lineRule="auto"/>
        <w:jc w:val="both"/>
        <w:rPr>
          <w:rStyle w:val="Strong"/>
        </w:rPr>
      </w:pPr>
      <w:r w:rsidRPr="00635B72">
        <w:rPr>
          <w:rStyle w:val="Strong"/>
        </w:rPr>
        <w:t>2005 – Listing on NSE</w:t>
      </w:r>
    </w:p>
    <w:p w:rsidR="00BF641D" w:rsidRPr="00635B72" w:rsidRDefault="00BF641D" w:rsidP="00BF641D">
      <w:pPr>
        <w:pStyle w:val="NormalWeb"/>
        <w:spacing w:line="360" w:lineRule="auto"/>
        <w:jc w:val="both"/>
      </w:pPr>
      <w:r w:rsidRPr="00635B72">
        <w:t>Geojit shares were listed on the National Stock Exchange of India Limited. This gave the company wider recognition among investors.</w:t>
      </w:r>
    </w:p>
    <w:p w:rsidR="00BF641D" w:rsidRPr="00635B72" w:rsidRDefault="00BF641D" w:rsidP="00BF641D">
      <w:pPr>
        <w:pStyle w:val="NormalWeb"/>
        <w:spacing w:line="360" w:lineRule="auto"/>
        <w:jc w:val="both"/>
        <w:rPr>
          <w:rStyle w:val="Strong"/>
        </w:rPr>
      </w:pPr>
      <w:r w:rsidRPr="00635B72">
        <w:rPr>
          <w:rStyle w:val="Strong"/>
        </w:rPr>
        <w:t>2007 – Partnership with BNP Paribas</w:t>
      </w:r>
    </w:p>
    <w:p w:rsidR="00BF641D" w:rsidRPr="00635B72" w:rsidRDefault="00BF641D" w:rsidP="00BF641D">
      <w:pPr>
        <w:pStyle w:val="NormalWeb"/>
        <w:spacing w:line="360" w:lineRule="auto"/>
        <w:jc w:val="both"/>
      </w:pPr>
      <w:r w:rsidRPr="00635B72">
        <w:t>BNP Paribas, a leading international banking group, became a major shareholder of Geojit. This partnership helped the company strengthen its financial services and global presence.</w:t>
      </w:r>
    </w:p>
    <w:p w:rsidR="00DD1AC8" w:rsidRPr="00635B72" w:rsidRDefault="00DD1AC8" w:rsidP="00BF641D">
      <w:pPr>
        <w:pStyle w:val="NormalWeb"/>
        <w:spacing w:line="360" w:lineRule="auto"/>
        <w:jc w:val="both"/>
      </w:pPr>
    </w:p>
    <w:p w:rsidR="00BF641D" w:rsidRPr="00635B72" w:rsidRDefault="00BF641D" w:rsidP="00BF641D">
      <w:pPr>
        <w:pStyle w:val="NormalWeb"/>
        <w:spacing w:line="360" w:lineRule="auto"/>
        <w:jc w:val="both"/>
        <w:rPr>
          <w:rStyle w:val="Strong"/>
        </w:rPr>
      </w:pPr>
      <w:r w:rsidRPr="00635B72">
        <w:rPr>
          <w:rStyle w:val="Strong"/>
        </w:rPr>
        <w:lastRenderedPageBreak/>
        <w:t>2012 – Launch of QFI Investment Service</w:t>
      </w:r>
    </w:p>
    <w:p w:rsidR="00BF641D" w:rsidRPr="00635B72" w:rsidRDefault="00BF641D" w:rsidP="00BF641D">
      <w:pPr>
        <w:pStyle w:val="NormalWeb"/>
        <w:spacing w:line="360" w:lineRule="auto"/>
        <w:jc w:val="both"/>
      </w:pPr>
      <w:r w:rsidRPr="00635B72">
        <w:t xml:space="preserve">Geojit launched Qualified Foreign Investors investment services. This helped foreign investors participate in the Indian capital market. </w:t>
      </w:r>
    </w:p>
    <w:p w:rsidR="00BF641D" w:rsidRPr="00635B72" w:rsidRDefault="00BF641D" w:rsidP="00BF641D">
      <w:pPr>
        <w:pStyle w:val="NormalWeb"/>
        <w:spacing w:line="360" w:lineRule="auto"/>
        <w:jc w:val="both"/>
        <w:rPr>
          <w:rStyle w:val="Strong"/>
        </w:rPr>
      </w:pPr>
      <w:r w:rsidRPr="00635B72">
        <w:rPr>
          <w:rStyle w:val="Strong"/>
        </w:rPr>
        <w:t>2018 – Launch of FundsGenie</w:t>
      </w:r>
    </w:p>
    <w:p w:rsidR="00BF641D" w:rsidRPr="00635B72" w:rsidRDefault="00BF641D" w:rsidP="00BF641D">
      <w:pPr>
        <w:pStyle w:val="NormalWeb"/>
        <w:spacing w:line="360" w:lineRule="auto"/>
        <w:jc w:val="both"/>
      </w:pPr>
      <w:r w:rsidRPr="00635B72">
        <w:t xml:space="preserve">Geojit launched FundsGenie, an online mutual fund advisory and investment platform. This supported investors in selecting and investing in mutual funds digitally. </w:t>
      </w:r>
    </w:p>
    <w:p w:rsidR="00BF641D" w:rsidRPr="00635B72" w:rsidRDefault="00BF641D" w:rsidP="00BF641D">
      <w:pPr>
        <w:pStyle w:val="NormalWeb"/>
        <w:spacing w:line="360" w:lineRule="auto"/>
        <w:jc w:val="both"/>
        <w:rPr>
          <w:rStyle w:val="Strong"/>
        </w:rPr>
      </w:pPr>
      <w:r w:rsidRPr="00635B72">
        <w:rPr>
          <w:rStyle w:val="Strong"/>
        </w:rPr>
        <w:t>2019 – Launch of STEPS Division</w:t>
      </w:r>
    </w:p>
    <w:p w:rsidR="00BF641D" w:rsidRPr="00635B72" w:rsidRDefault="00BF641D" w:rsidP="00BF641D">
      <w:pPr>
        <w:pStyle w:val="NormalWeb"/>
        <w:spacing w:line="360" w:lineRule="auto"/>
        <w:jc w:val="both"/>
      </w:pPr>
      <w:r w:rsidRPr="00635B72">
        <w:t xml:space="preserve">The company inaugurated STEPS, its financial planning division, at Info Park, Kochi. This division focuses on structured financial planning services. </w:t>
      </w:r>
    </w:p>
    <w:p w:rsidR="00BF641D" w:rsidRPr="00635B72" w:rsidRDefault="00BF641D" w:rsidP="00BF641D">
      <w:pPr>
        <w:pStyle w:val="NormalWeb"/>
        <w:spacing w:line="360" w:lineRule="auto"/>
        <w:jc w:val="both"/>
        <w:rPr>
          <w:rStyle w:val="Strong"/>
        </w:rPr>
      </w:pPr>
      <w:r w:rsidRPr="00635B72">
        <w:rPr>
          <w:rStyle w:val="Strong"/>
        </w:rPr>
        <w:t>2020 – Digital Service Expansion</w:t>
      </w:r>
    </w:p>
    <w:p w:rsidR="00BF641D" w:rsidRPr="00635B72" w:rsidRDefault="00BF641D" w:rsidP="00BF641D">
      <w:pPr>
        <w:pStyle w:val="NormalWeb"/>
        <w:spacing w:line="360" w:lineRule="auto"/>
        <w:jc w:val="both"/>
      </w:pPr>
      <w:r w:rsidRPr="00635B72">
        <w:t xml:space="preserve">Geojit expanded its digital services by launching online and WhatsApp-based customer support channels. This improved customer convenience and service delivery. </w:t>
      </w:r>
    </w:p>
    <w:p w:rsidR="00BF641D" w:rsidRPr="00635B72" w:rsidRDefault="00BF641D" w:rsidP="00BF641D">
      <w:pPr>
        <w:pStyle w:val="NormalWeb"/>
        <w:spacing w:line="360" w:lineRule="auto"/>
        <w:jc w:val="both"/>
        <w:rPr>
          <w:rStyle w:val="Strong"/>
        </w:rPr>
      </w:pPr>
      <w:r w:rsidRPr="00635B72">
        <w:rPr>
          <w:rStyle w:val="Strong"/>
        </w:rPr>
        <w:t>2021 – Launch of Ethical Portfolio and Global Investment Services</w:t>
      </w:r>
    </w:p>
    <w:p w:rsidR="00BF641D" w:rsidRPr="00635B72" w:rsidRDefault="00BF641D" w:rsidP="00BF641D">
      <w:pPr>
        <w:pStyle w:val="NormalWeb"/>
        <w:spacing w:line="360" w:lineRule="auto"/>
        <w:jc w:val="both"/>
      </w:pPr>
      <w:r w:rsidRPr="00635B72">
        <w:t xml:space="preserve">The company launched Ethical Portfolio, an open-ended multi-cap PMS, and also introduced Geojit Global Investment services. These initiatives widened the investment choices available to customers. </w:t>
      </w:r>
    </w:p>
    <w:p w:rsidR="00BF641D" w:rsidRPr="00635B72" w:rsidRDefault="00BF641D" w:rsidP="00BF641D">
      <w:pPr>
        <w:pStyle w:val="NormalWeb"/>
        <w:spacing w:line="360" w:lineRule="auto"/>
        <w:jc w:val="both"/>
        <w:rPr>
          <w:rStyle w:val="Strong"/>
        </w:rPr>
      </w:pPr>
      <w:r w:rsidRPr="00635B72">
        <w:rPr>
          <w:rStyle w:val="Strong"/>
        </w:rPr>
        <w:t>Present Position</w:t>
      </w:r>
    </w:p>
    <w:p w:rsidR="00BF641D" w:rsidRPr="00635B72" w:rsidRDefault="00BF641D" w:rsidP="00BF641D">
      <w:pPr>
        <w:pStyle w:val="NormalWeb"/>
        <w:spacing w:line="360" w:lineRule="auto"/>
        <w:jc w:val="both"/>
      </w:pPr>
      <w:r w:rsidRPr="00635B72">
        <w:t>At present, Geojit Financial Services Ltd. has a strong presence across India and in Gulf Cooperation Council countries. The company serves more than one million customers and offers a wide range of investment and financial planning services through branches, online platforms and customer care services.</w:t>
      </w:r>
    </w:p>
    <w:p w:rsidR="00BF641D" w:rsidRPr="00635B72" w:rsidRDefault="00BF641D" w:rsidP="00BF641D">
      <w:pPr>
        <w:pStyle w:val="Heading3"/>
        <w:spacing w:line="360" w:lineRule="auto"/>
        <w:jc w:val="both"/>
        <w:rPr>
          <w:rFonts w:ascii="Times New Roman" w:hAnsi="Times New Roman" w:cs="Times New Roman"/>
          <w:b/>
          <w:bCs/>
          <w:color w:val="auto"/>
        </w:rPr>
      </w:pPr>
      <w:r w:rsidRPr="00635B72">
        <w:rPr>
          <w:rFonts w:ascii="Times New Roman" w:hAnsi="Times New Roman" w:cs="Times New Roman"/>
          <w:b/>
          <w:bCs/>
          <w:color w:val="auto"/>
        </w:rPr>
        <w:t>Major Achievements</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Growth from a small Kerala-based firm to a leading financial services company</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started as a small stock broking firm in Kerala and later developed into a well-known investment services company with a strong presence in India and abroad. </w:t>
      </w:r>
    </w:p>
    <w:p w:rsidR="004222E3" w:rsidRPr="00635B72" w:rsidRDefault="004222E3" w:rsidP="00BF641D">
      <w:pPr>
        <w:spacing w:before="100" w:beforeAutospacing="1" w:after="100" w:afterAutospacing="1" w:line="360" w:lineRule="auto"/>
        <w:ind w:left="720"/>
        <w:jc w:val="both"/>
        <w:rPr>
          <w:rFonts w:ascii="Times New Roman" w:hAnsi="Times New Roman" w:cs="Times New Roman"/>
          <w:sz w:val="24"/>
        </w:rPr>
      </w:pP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Public limited company status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The company became a public limited company under the name Geojit Securities Ltd. This helped the company expand its operations and strengthen its position in the financial services sector.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Membership in major stock exchanges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became a member of major stock exchanges such as NSE and BSE. This enabled the company to provide wider stock market services to investors.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Introduction of online trading facility</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was one of the first broking firms in India to offer online trading facilities. This was an important achievement in the Indian stock broking industry.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Launch of depository services</w:t>
      </w:r>
    </w:p>
    <w:p w:rsidR="00BF641D" w:rsidRPr="00635B72" w:rsidRDefault="00BF641D" w:rsidP="1E98F21E">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The company introduced depository participant services, which helped investors hold shares in </w:t>
      </w:r>
      <w:r w:rsidR="06F2C7C4" w:rsidRPr="00635B72">
        <w:rPr>
          <w:rFonts w:ascii="Times New Roman" w:hAnsi="Times New Roman" w:cs="Times New Roman"/>
          <w:sz w:val="24"/>
        </w:rPr>
        <w:t>dematerialized</w:t>
      </w:r>
      <w:r w:rsidRPr="00635B72">
        <w:rPr>
          <w:rFonts w:ascii="Times New Roman" w:hAnsi="Times New Roman" w:cs="Times New Roman"/>
          <w:sz w:val="24"/>
        </w:rPr>
        <w:t xml:space="preserve"> form and carry out transactions easily.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Expansion of services to NRI investors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expanded its services to the Gulf region through joint ventures. This helped the company serve Non-Resident Indian investors effectively.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Development of technology-based trading platforms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The company introduced digital trading platforms and mobile-based investment services, making investment more convenient for customers.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Launch of Portfolio Management Services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started Portfolio Management Services with SEBI registration, which helped investors receive professional investment management support.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lastRenderedPageBreak/>
        <w:t>Strong customer base</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Over the years, Geojit has built a large customer base by providing investment services, advisory support and financial planning solutions.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Wide range of financial products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The company offers services such as equity trading, mutual fund investment, derivatives, commodities, insurance, portfolio management and financial planning.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Investor education and advisory services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provides research reports, advisory support and investor awareness services to help customers make better investment decisions.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Recognition for innovation in financial services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Geojit has achieved several industry firsts through product innovation, technology adoption and customer-oriented financial services.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Contribution to mutual fund investment awareness</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 xml:space="preserve">Through its branches and online platforms, Geojit supports investors in understanding and investing in mutual funds, SIPs and other investment avenues. </w:t>
      </w:r>
    </w:p>
    <w:p w:rsidR="00BF641D" w:rsidRPr="00635B72" w:rsidRDefault="00BF641D" w:rsidP="00BF641D">
      <w:pPr>
        <w:numPr>
          <w:ilvl w:val="0"/>
          <w:numId w:val="18"/>
        </w:numPr>
        <w:spacing w:before="100" w:beforeAutospacing="1" w:after="100" w:afterAutospacing="1" w:line="360" w:lineRule="auto"/>
        <w:jc w:val="both"/>
        <w:rPr>
          <w:rStyle w:val="Strong"/>
          <w:rFonts w:ascii="Times New Roman" w:hAnsi="Times New Roman" w:cs="Times New Roman"/>
          <w:b w:val="0"/>
          <w:bCs w:val="0"/>
          <w:sz w:val="24"/>
        </w:rPr>
      </w:pPr>
      <w:r w:rsidRPr="00635B72">
        <w:rPr>
          <w:rStyle w:val="Strong"/>
          <w:rFonts w:ascii="Times New Roman" w:hAnsi="Times New Roman" w:cs="Times New Roman"/>
          <w:sz w:val="24"/>
        </w:rPr>
        <w:t>Presence in Kannur</w:t>
      </w:r>
    </w:p>
    <w:p w:rsidR="00BF641D" w:rsidRPr="00635B72" w:rsidRDefault="00BF641D" w:rsidP="00BF641D">
      <w:pPr>
        <w:spacing w:before="100" w:beforeAutospacing="1" w:after="100" w:afterAutospacing="1" w:line="360" w:lineRule="auto"/>
        <w:ind w:left="720"/>
        <w:jc w:val="both"/>
        <w:rPr>
          <w:rFonts w:ascii="Times New Roman" w:hAnsi="Times New Roman" w:cs="Times New Roman"/>
          <w:sz w:val="24"/>
        </w:rPr>
      </w:pPr>
      <w:r w:rsidRPr="00635B72">
        <w:rPr>
          <w:rFonts w:ascii="Times New Roman" w:hAnsi="Times New Roman" w:cs="Times New Roman"/>
          <w:sz w:val="24"/>
        </w:rPr>
        <w:t>Geojit Financial Services Ltd., Kannur branch provides investment-related services to local investors and helps them access mutual funds, equity trading and other financial products.</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PRODUCTS</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EQUITIES</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Equities section provides with an insight into the equities segment of NSE and BSE  and also provides real-time quotes and statistics of the equities market.  In-depth information regarding listing of securities, trading systems and process, clearing and </w:t>
      </w:r>
      <w:r w:rsidRPr="00635B72">
        <w:rPr>
          <w:rFonts w:ascii="Times New Roman" w:hAnsi="Times New Roman" w:cs="Times New Roman"/>
          <w:sz w:val="24"/>
          <w:szCs w:val="24"/>
        </w:rPr>
        <w:lastRenderedPageBreak/>
        <w:t xml:space="preserve">settlement, risk management, trading statistics etc are available. Geojit is the registered member of NSE, giving equities at the </w:t>
      </w:r>
      <w:r w:rsidR="006B0151" w:rsidRPr="00635B72">
        <w:rPr>
          <w:rFonts w:ascii="Times New Roman" w:hAnsi="Times New Roman" w:cs="Times New Roman"/>
          <w:sz w:val="24"/>
          <w:szCs w:val="24"/>
        </w:rPr>
        <w:t>most importance</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DERIVATIVES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 derivative is a security with a price that is dependent upon or derived from one or more underlying assets. The derivative itself is a contract between two or more parties based upon the asset or assets. Its value is determined </w:t>
      </w:r>
      <w:r w:rsidR="60AEBFBB" w:rsidRPr="00635B72">
        <w:rPr>
          <w:rFonts w:ascii="Times New Roman" w:hAnsi="Times New Roman" w:cs="Times New Roman"/>
          <w:sz w:val="24"/>
          <w:szCs w:val="24"/>
        </w:rPr>
        <w:t>by fluctuations</w:t>
      </w:r>
      <w:r w:rsidRPr="00635B72">
        <w:rPr>
          <w:rFonts w:ascii="Times New Roman" w:hAnsi="Times New Roman" w:cs="Times New Roman"/>
          <w:sz w:val="24"/>
          <w:szCs w:val="24"/>
        </w:rPr>
        <w:t xml:space="preserve"> in the underlying asset.  The common underlying asset includes stocks, bonds, commodities, currencies, interest rates and </w:t>
      </w:r>
      <w:r w:rsidR="1FA88E4D" w:rsidRPr="00635B72">
        <w:rPr>
          <w:rFonts w:ascii="Times New Roman" w:hAnsi="Times New Roman" w:cs="Times New Roman"/>
          <w:sz w:val="24"/>
          <w:szCs w:val="24"/>
        </w:rPr>
        <w:t>market index</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Derivatives </w:t>
      </w:r>
      <w:r w:rsidR="0C6748EC" w:rsidRPr="00635B72">
        <w:rPr>
          <w:rFonts w:ascii="Times New Roman" w:hAnsi="Times New Roman" w:cs="Times New Roman"/>
          <w:sz w:val="24"/>
          <w:szCs w:val="24"/>
        </w:rPr>
        <w:t>can either</w:t>
      </w:r>
      <w:r w:rsidRPr="00635B72">
        <w:rPr>
          <w:rFonts w:ascii="Times New Roman" w:hAnsi="Times New Roman" w:cs="Times New Roman"/>
          <w:sz w:val="24"/>
          <w:szCs w:val="24"/>
        </w:rPr>
        <w:t xml:space="preserve"> be traded over the counter (OTC) or on an Exchange. OTC derivatives constitute the greater proportion of derivatives in existence </w:t>
      </w:r>
      <w:r w:rsidR="5A6E7380" w:rsidRPr="00635B72">
        <w:rPr>
          <w:rFonts w:ascii="Times New Roman" w:hAnsi="Times New Roman" w:cs="Times New Roman"/>
          <w:sz w:val="24"/>
          <w:szCs w:val="24"/>
        </w:rPr>
        <w:t xml:space="preserve">and </w:t>
      </w:r>
      <w:r w:rsidR="2D4FF9E1" w:rsidRPr="00635B72">
        <w:rPr>
          <w:rFonts w:ascii="Times New Roman" w:hAnsi="Times New Roman" w:cs="Times New Roman"/>
          <w:sz w:val="24"/>
          <w:szCs w:val="24"/>
        </w:rPr>
        <w:t>are unregulated</w:t>
      </w:r>
      <w:r w:rsidRPr="00635B72">
        <w:rPr>
          <w:rFonts w:ascii="Times New Roman" w:hAnsi="Times New Roman" w:cs="Times New Roman"/>
          <w:sz w:val="24"/>
          <w:szCs w:val="24"/>
        </w:rPr>
        <w:t xml:space="preserve">, whereas derivatives traded on exchanges are standardized. OTC derivatives generally have greater risk for the counterparty than do standardized derivatives. Geojit assist the investors to trade their underlying assets in </w:t>
      </w:r>
      <w:r w:rsidR="18AA7570" w:rsidRPr="00635B72">
        <w:rPr>
          <w:rFonts w:ascii="Times New Roman" w:hAnsi="Times New Roman" w:cs="Times New Roman"/>
          <w:sz w:val="24"/>
          <w:szCs w:val="24"/>
        </w:rPr>
        <w:t>derivative market</w:t>
      </w:r>
      <w:r w:rsidRPr="00635B72">
        <w:rPr>
          <w:rFonts w:ascii="Times New Roman" w:hAnsi="Times New Roman" w:cs="Times New Roman"/>
          <w:sz w:val="24"/>
          <w:szCs w:val="24"/>
        </w:rPr>
        <w:t>.</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COMMODITIES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 commodity market is a market that trade in primary economic sector rather than manufactured products. Soft commodities are agricultural products such as wheat, coffee, cocoa and sugar. Hard commodities are mined, such as gold </w:t>
      </w:r>
      <w:r w:rsidR="26725A34" w:rsidRPr="00635B72">
        <w:rPr>
          <w:rFonts w:ascii="Times New Roman" w:hAnsi="Times New Roman" w:cs="Times New Roman"/>
          <w:sz w:val="24"/>
          <w:szCs w:val="24"/>
        </w:rPr>
        <w:t>and oil</w:t>
      </w:r>
      <w:r w:rsidRPr="00635B72">
        <w:rPr>
          <w:rFonts w:ascii="Times New Roman" w:hAnsi="Times New Roman" w:cs="Times New Roman"/>
          <w:sz w:val="24"/>
          <w:szCs w:val="24"/>
        </w:rPr>
        <w:t xml:space="preserve">.  Investors access  about 50 major commodity markets worldwide with purely financial transactions increasingly outnumbering physical trades in which goods are delivered. </w:t>
      </w:r>
      <w:r w:rsidR="1CE5AFFB" w:rsidRPr="00635B72">
        <w:rPr>
          <w:rFonts w:ascii="Times New Roman" w:hAnsi="Times New Roman" w:cs="Times New Roman"/>
          <w:sz w:val="24"/>
          <w:szCs w:val="24"/>
        </w:rPr>
        <w:t>Future contracts</w:t>
      </w:r>
      <w:r w:rsidRPr="00635B72">
        <w:rPr>
          <w:rFonts w:ascii="Times New Roman" w:hAnsi="Times New Roman" w:cs="Times New Roman"/>
          <w:sz w:val="24"/>
          <w:szCs w:val="24"/>
        </w:rPr>
        <w:t xml:space="preserve"> are</w:t>
      </w:r>
      <w:r w:rsidR="67551D06" w:rsidRPr="00635B72">
        <w:rPr>
          <w:rFonts w:ascii="Times New Roman" w:hAnsi="Times New Roman" w:cs="Times New Roman"/>
          <w:sz w:val="24"/>
          <w:szCs w:val="24"/>
        </w:rPr>
        <w:t xml:space="preserve"> </w:t>
      </w:r>
      <w:r w:rsidRPr="00635B72">
        <w:rPr>
          <w:rFonts w:ascii="Times New Roman" w:hAnsi="Times New Roman" w:cs="Times New Roman"/>
          <w:sz w:val="24"/>
          <w:szCs w:val="24"/>
        </w:rPr>
        <w:t>the</w:t>
      </w:r>
      <w:r w:rsidR="3D227D9B" w:rsidRPr="00635B72">
        <w:rPr>
          <w:rFonts w:ascii="Times New Roman" w:hAnsi="Times New Roman" w:cs="Times New Roman"/>
          <w:sz w:val="24"/>
          <w:szCs w:val="24"/>
        </w:rPr>
        <w:t xml:space="preserve"> </w:t>
      </w:r>
      <w:r w:rsidRPr="00635B72">
        <w:rPr>
          <w:rFonts w:ascii="Times New Roman" w:hAnsi="Times New Roman" w:cs="Times New Roman"/>
          <w:sz w:val="24"/>
          <w:szCs w:val="24"/>
        </w:rPr>
        <w:t>oldest</w:t>
      </w:r>
      <w:r w:rsidR="53EB28CB" w:rsidRPr="00635B72">
        <w:rPr>
          <w:rFonts w:ascii="Times New Roman" w:hAnsi="Times New Roman" w:cs="Times New Roman"/>
          <w:sz w:val="24"/>
          <w:szCs w:val="24"/>
        </w:rPr>
        <w:t xml:space="preserve"> </w:t>
      </w:r>
      <w:r w:rsidRPr="00635B72">
        <w:rPr>
          <w:rFonts w:ascii="Times New Roman" w:hAnsi="Times New Roman" w:cs="Times New Roman"/>
          <w:sz w:val="24"/>
          <w:szCs w:val="24"/>
        </w:rPr>
        <w:t>way</w:t>
      </w:r>
      <w:r w:rsidR="38275367" w:rsidRPr="00635B72">
        <w:rPr>
          <w:rFonts w:ascii="Times New Roman" w:hAnsi="Times New Roman" w:cs="Times New Roman"/>
          <w:sz w:val="24"/>
          <w:szCs w:val="24"/>
        </w:rPr>
        <w:t xml:space="preserve"> </w:t>
      </w:r>
      <w:r w:rsidRPr="00635B72">
        <w:rPr>
          <w:rFonts w:ascii="Times New Roman" w:hAnsi="Times New Roman" w:cs="Times New Roman"/>
          <w:sz w:val="24"/>
          <w:szCs w:val="24"/>
        </w:rPr>
        <w:t>of</w:t>
      </w:r>
      <w:r w:rsidR="50DEBF07" w:rsidRPr="00635B72">
        <w:rPr>
          <w:rFonts w:ascii="Times New Roman" w:hAnsi="Times New Roman" w:cs="Times New Roman"/>
          <w:sz w:val="24"/>
          <w:szCs w:val="24"/>
        </w:rPr>
        <w:t xml:space="preserve"> </w:t>
      </w:r>
      <w:r w:rsidRPr="00635B72">
        <w:rPr>
          <w:rFonts w:ascii="Times New Roman" w:hAnsi="Times New Roman" w:cs="Times New Roman"/>
          <w:sz w:val="24"/>
          <w:szCs w:val="24"/>
        </w:rPr>
        <w:t>investing</w:t>
      </w:r>
      <w:r w:rsidR="37D98A89" w:rsidRPr="00635B72">
        <w:rPr>
          <w:rFonts w:ascii="Times New Roman" w:hAnsi="Times New Roman" w:cs="Times New Roman"/>
          <w:sz w:val="24"/>
          <w:szCs w:val="24"/>
        </w:rPr>
        <w:t xml:space="preserve"> </w:t>
      </w:r>
      <w:r w:rsidRPr="00635B72">
        <w:rPr>
          <w:rFonts w:ascii="Times New Roman" w:hAnsi="Times New Roman" w:cs="Times New Roman"/>
          <w:sz w:val="24"/>
          <w:szCs w:val="24"/>
        </w:rPr>
        <w:t>in</w:t>
      </w:r>
      <w:r w:rsidR="00C57D75" w:rsidRPr="00635B72">
        <w:rPr>
          <w:rFonts w:ascii="Times New Roman" w:hAnsi="Times New Roman" w:cs="Times New Roman"/>
          <w:sz w:val="24"/>
          <w:szCs w:val="24"/>
        </w:rPr>
        <w:t xml:space="preserve"> </w:t>
      </w:r>
      <w:r w:rsidRPr="00635B72">
        <w:rPr>
          <w:rFonts w:ascii="Times New Roman" w:hAnsi="Times New Roman" w:cs="Times New Roman"/>
          <w:sz w:val="24"/>
          <w:szCs w:val="24"/>
        </w:rPr>
        <w:t>commodities.</w:t>
      </w:r>
      <w:r w:rsidR="64560140" w:rsidRPr="00635B72">
        <w:rPr>
          <w:rFonts w:ascii="Times New Roman" w:hAnsi="Times New Roman" w:cs="Times New Roman"/>
          <w:sz w:val="24"/>
          <w:szCs w:val="24"/>
        </w:rPr>
        <w:t xml:space="preserve"> </w:t>
      </w:r>
      <w:r w:rsidRPr="00635B72">
        <w:rPr>
          <w:rFonts w:ascii="Times New Roman" w:hAnsi="Times New Roman" w:cs="Times New Roman"/>
          <w:sz w:val="24"/>
          <w:szCs w:val="24"/>
        </w:rPr>
        <w:t>Futures</w:t>
      </w:r>
      <w:r w:rsidR="023E62D0" w:rsidRPr="00635B72">
        <w:rPr>
          <w:rFonts w:ascii="Times New Roman" w:hAnsi="Times New Roman" w:cs="Times New Roman"/>
          <w:sz w:val="24"/>
          <w:szCs w:val="24"/>
        </w:rPr>
        <w:t xml:space="preserve"> </w:t>
      </w:r>
      <w:r w:rsidRPr="00635B72">
        <w:rPr>
          <w:rFonts w:ascii="Times New Roman" w:hAnsi="Times New Roman" w:cs="Times New Roman"/>
          <w:sz w:val="24"/>
          <w:szCs w:val="24"/>
        </w:rPr>
        <w:t>are</w:t>
      </w:r>
      <w:r w:rsidR="2D86A4B2" w:rsidRPr="00635B72">
        <w:rPr>
          <w:rFonts w:ascii="Times New Roman" w:hAnsi="Times New Roman" w:cs="Times New Roman"/>
          <w:sz w:val="24"/>
          <w:szCs w:val="24"/>
        </w:rPr>
        <w:t xml:space="preserve"> </w:t>
      </w:r>
      <w:r w:rsidRPr="00635B72">
        <w:rPr>
          <w:rFonts w:ascii="Times New Roman" w:hAnsi="Times New Roman" w:cs="Times New Roman"/>
          <w:sz w:val="24"/>
          <w:szCs w:val="24"/>
        </w:rPr>
        <w:t>secured</w:t>
      </w:r>
      <w:r w:rsidR="75E2FBAD" w:rsidRPr="00635B72">
        <w:rPr>
          <w:rFonts w:ascii="Times New Roman" w:hAnsi="Times New Roman" w:cs="Times New Roman"/>
          <w:sz w:val="24"/>
          <w:szCs w:val="24"/>
        </w:rPr>
        <w:t xml:space="preserve"> </w:t>
      </w:r>
      <w:r w:rsidRPr="00635B72">
        <w:rPr>
          <w:rFonts w:ascii="Times New Roman" w:hAnsi="Times New Roman" w:cs="Times New Roman"/>
          <w:sz w:val="24"/>
          <w:szCs w:val="24"/>
        </w:rPr>
        <w:t>by</w:t>
      </w:r>
      <w:r w:rsidR="59422AF8" w:rsidRPr="00635B72">
        <w:rPr>
          <w:rFonts w:ascii="Times New Roman" w:hAnsi="Times New Roman" w:cs="Times New Roman"/>
          <w:sz w:val="24"/>
          <w:szCs w:val="24"/>
        </w:rPr>
        <w:t xml:space="preserve"> </w:t>
      </w:r>
      <w:r w:rsidRPr="00635B72">
        <w:rPr>
          <w:rFonts w:ascii="Times New Roman" w:hAnsi="Times New Roman" w:cs="Times New Roman"/>
          <w:sz w:val="24"/>
          <w:szCs w:val="24"/>
        </w:rPr>
        <w:t>physical</w:t>
      </w:r>
      <w:r w:rsidR="322EAA3B" w:rsidRPr="00635B72">
        <w:rPr>
          <w:rFonts w:ascii="Times New Roman" w:hAnsi="Times New Roman" w:cs="Times New Roman"/>
          <w:sz w:val="24"/>
          <w:szCs w:val="24"/>
        </w:rPr>
        <w:t xml:space="preserve"> </w:t>
      </w:r>
      <w:r w:rsidRPr="00635B72">
        <w:rPr>
          <w:rFonts w:ascii="Times New Roman" w:hAnsi="Times New Roman" w:cs="Times New Roman"/>
          <w:sz w:val="24"/>
          <w:szCs w:val="24"/>
        </w:rPr>
        <w:t>assets.</w:t>
      </w:r>
    </w:p>
    <w:p w:rsidR="00CA5082" w:rsidRPr="00635B72" w:rsidRDefault="00CA5082"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Commodity markets can include physical trading and derivatives trading and derivatives trading using spot prices, forward, futures and options on futures. Farmers have used a simple form or commodity market for centuries for price risk management.</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MUTUAL FUNDS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 mutual fund is an investment vehicle made up of a pool of funds collected from many investors for the purpose of investing in securities such as stocks, bonds, money market instrument and similar assets. Mutual funds are operated by money managers, who invest the fund’s capital and attempt to produce capital gains and income for the investment objectives stated its prospectus. One of the main advantages of mutual funds is they give </w:t>
      </w:r>
      <w:r w:rsidRPr="00635B72">
        <w:rPr>
          <w:rFonts w:ascii="Times New Roman" w:hAnsi="Times New Roman" w:cs="Times New Roman"/>
          <w:sz w:val="24"/>
          <w:szCs w:val="24"/>
        </w:rPr>
        <w:lastRenderedPageBreak/>
        <w:t xml:space="preserve">small investors access to professionally managed, diversified portfolio of equities, bonds and other securities. Each shareholder, therefore, participates proportionally in the gain or loss of </w:t>
      </w:r>
      <w:r w:rsidR="75278A3C" w:rsidRPr="00635B72">
        <w:rPr>
          <w:rFonts w:ascii="Times New Roman" w:hAnsi="Times New Roman" w:cs="Times New Roman"/>
          <w:sz w:val="24"/>
          <w:szCs w:val="24"/>
        </w:rPr>
        <w:t>the fund</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Investments in securities are spread across a wide cross-section of industries and sectors and thus the risk is reduced. Diversification reduces the risk because all stocks may not move in the same proportion at the same  time. Mutual funds issues units </w:t>
      </w:r>
      <w:r w:rsidR="21581DB3" w:rsidRPr="00635B72">
        <w:rPr>
          <w:rFonts w:ascii="Times New Roman" w:hAnsi="Times New Roman" w:cs="Times New Roman"/>
          <w:sz w:val="24"/>
          <w:szCs w:val="24"/>
        </w:rPr>
        <w:t>to the</w:t>
      </w:r>
      <w:r w:rsidRPr="00635B72">
        <w:rPr>
          <w:rFonts w:ascii="Times New Roman" w:hAnsi="Times New Roman" w:cs="Times New Roman"/>
          <w:sz w:val="24"/>
          <w:szCs w:val="24"/>
        </w:rPr>
        <w:t xml:space="preserve"> investors  in accordance with quantum of money invested by them. Investors of mutual funds are known as unit holders. Geojit securities</w:t>
      </w:r>
      <w:r w:rsidR="5E93DCDB" w:rsidRPr="00635B72">
        <w:rPr>
          <w:rFonts w:ascii="Times New Roman" w:hAnsi="Times New Roman" w:cs="Times New Roman"/>
          <w:sz w:val="24"/>
          <w:szCs w:val="24"/>
        </w:rPr>
        <w:t xml:space="preserve"> </w:t>
      </w:r>
      <w:r w:rsidRPr="00635B72">
        <w:rPr>
          <w:rFonts w:ascii="Times New Roman" w:hAnsi="Times New Roman" w:cs="Times New Roman"/>
          <w:sz w:val="24"/>
          <w:szCs w:val="24"/>
        </w:rPr>
        <w:t>provide all the supporting activities for investors.</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IPO (INITIAL PUBLIC OFFERING)</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An Initial Public Offering (IPO) is the selling of securities to the public in the primary market. It is when an unlisted company makes either a fresh issue of securities or an offer for sale of its existing securities or both for the first time to the public. This paves way for listing and trading of the issuer’s securities. The sale of securities can be either through book building or through normal </w:t>
      </w:r>
      <w:r w:rsidR="56542B42" w:rsidRPr="00635B72">
        <w:rPr>
          <w:rFonts w:ascii="Times New Roman" w:hAnsi="Times New Roman" w:cs="Times New Roman"/>
          <w:sz w:val="24"/>
          <w:szCs w:val="24"/>
        </w:rPr>
        <w:t>public issue</w:t>
      </w:r>
      <w:r w:rsidRPr="00635B72">
        <w:rPr>
          <w:rFonts w:ascii="Times New Roman" w:hAnsi="Times New Roman" w:cs="Times New Roman"/>
          <w:sz w:val="24"/>
          <w:szCs w:val="24"/>
        </w:rPr>
        <w:t>.</w:t>
      </w:r>
    </w:p>
    <w:p w:rsidR="00BF641D"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IPO can be a risky investment. For the individual investor, it is tough to predict what the stock will do on its initial day of trading and in the near future since there is often little historical data with which to analyze the company. Also, most IPOs are of </w:t>
      </w:r>
      <w:r w:rsidR="5F78B534" w:rsidRPr="00635B72">
        <w:rPr>
          <w:rFonts w:ascii="Times New Roman" w:hAnsi="Times New Roman" w:cs="Times New Roman"/>
          <w:sz w:val="24"/>
          <w:szCs w:val="24"/>
        </w:rPr>
        <w:t>companies going</w:t>
      </w:r>
      <w:r w:rsidRPr="00635B72">
        <w:rPr>
          <w:rFonts w:ascii="Times New Roman" w:hAnsi="Times New Roman" w:cs="Times New Roman"/>
          <w:sz w:val="24"/>
          <w:szCs w:val="24"/>
        </w:rPr>
        <w:t xml:space="preserve"> through a transitory growth period, and they are therefore subject to additional uncertainty regarding their </w:t>
      </w:r>
      <w:r w:rsidR="001512E3" w:rsidRPr="00635B72">
        <w:rPr>
          <w:rFonts w:ascii="Times New Roman" w:hAnsi="Times New Roman" w:cs="Times New Roman"/>
          <w:sz w:val="24"/>
          <w:szCs w:val="24"/>
        </w:rPr>
        <w:t>future value</w:t>
      </w:r>
      <w:r w:rsidRPr="00635B72">
        <w:rPr>
          <w:rFonts w:ascii="Times New Roman" w:hAnsi="Times New Roman" w:cs="Times New Roman"/>
          <w:sz w:val="24"/>
          <w:szCs w:val="24"/>
        </w:rPr>
        <w:t>.</w:t>
      </w:r>
    </w:p>
    <w:p w:rsidR="00CA5082" w:rsidRPr="00635B72" w:rsidRDefault="001512E3" w:rsidP="1E98F21E">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 xml:space="preserve">RECENT </w:t>
      </w:r>
      <w:r w:rsidR="00BE719F" w:rsidRPr="00635B72">
        <w:rPr>
          <w:rFonts w:ascii="Times New Roman" w:hAnsi="Times New Roman" w:cs="Times New Roman"/>
          <w:b/>
          <w:bCs/>
          <w:sz w:val="24"/>
          <w:szCs w:val="24"/>
        </w:rPr>
        <w:t xml:space="preserve">DEVELOPMENTS </w:t>
      </w:r>
      <w:r w:rsidRPr="00635B72">
        <w:rPr>
          <w:rFonts w:ascii="Times New Roman" w:hAnsi="Times New Roman" w:cs="Times New Roman"/>
          <w:b/>
          <w:bCs/>
          <w:sz w:val="24"/>
          <w:szCs w:val="24"/>
        </w:rPr>
        <w:t xml:space="preserve">OF </w:t>
      </w:r>
      <w:r w:rsidR="00CA5082" w:rsidRPr="00635B72">
        <w:rPr>
          <w:rFonts w:ascii="Times New Roman" w:hAnsi="Times New Roman" w:cs="Times New Roman"/>
          <w:b/>
          <w:bCs/>
          <w:sz w:val="24"/>
          <w:szCs w:val="24"/>
        </w:rPr>
        <w:t>THE COMPANY</w:t>
      </w:r>
    </w:p>
    <w:p w:rsidR="00CA5082" w:rsidRPr="00635B72" w:rsidRDefault="00CA5082"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CITY UNION BANK INKS MOU WITH GEOJIT BNP PARIBAS</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For online trading platform Geojit</w:t>
      </w:r>
      <w:r w:rsidR="00BE719F"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BNP Paribas Financial Services </w:t>
      </w:r>
      <w:r w:rsidR="4645C20F" w:rsidRPr="00635B72">
        <w:rPr>
          <w:rFonts w:ascii="Times New Roman" w:hAnsi="Times New Roman" w:cs="Times New Roman"/>
          <w:sz w:val="24"/>
          <w:szCs w:val="24"/>
        </w:rPr>
        <w:t>has announced</w:t>
      </w:r>
      <w:r w:rsidRPr="00635B72">
        <w:rPr>
          <w:rFonts w:ascii="Times New Roman" w:hAnsi="Times New Roman" w:cs="Times New Roman"/>
          <w:sz w:val="24"/>
          <w:szCs w:val="24"/>
        </w:rPr>
        <w:t xml:space="preserve"> that  City Union Bank, a welt respected private sector bank has launched its online trading product 'CUB-SHARE-TRADE' in association with Geojit</w:t>
      </w:r>
      <w:r w:rsidR="677BF903" w:rsidRPr="00635B72">
        <w:rPr>
          <w:rFonts w:ascii="Times New Roman" w:hAnsi="Times New Roman" w:cs="Times New Roman"/>
          <w:sz w:val="24"/>
          <w:szCs w:val="24"/>
        </w:rPr>
        <w:t xml:space="preserve"> </w:t>
      </w:r>
      <w:r w:rsidRPr="00635B72">
        <w:rPr>
          <w:rFonts w:ascii="Times New Roman" w:hAnsi="Times New Roman" w:cs="Times New Roman"/>
          <w:sz w:val="24"/>
          <w:szCs w:val="24"/>
        </w:rPr>
        <w:t>BNP</w:t>
      </w:r>
      <w:r w:rsidR="707D9A95"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Paribas,  a leading financial service provider </w:t>
      </w:r>
      <w:r w:rsidR="2A91B12D" w:rsidRPr="00635B72">
        <w:rPr>
          <w:rFonts w:ascii="Times New Roman" w:hAnsi="Times New Roman" w:cs="Times New Roman"/>
          <w:sz w:val="24"/>
          <w:szCs w:val="24"/>
        </w:rPr>
        <w:t>in India</w:t>
      </w:r>
      <w:r w:rsidRPr="00635B72">
        <w:rPr>
          <w:rFonts w:ascii="Times New Roman" w:hAnsi="Times New Roman" w:cs="Times New Roman"/>
          <w:sz w:val="24"/>
          <w:szCs w:val="24"/>
        </w:rPr>
        <w:t>.</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City Union Bank's retail clients will now have access to the comfort of seamless, hassle- free online trading in equities, derivatives, IPOs and Mutual Funds through Geojit</w:t>
      </w:r>
      <w:r w:rsidR="6D69FC90" w:rsidRPr="00635B72">
        <w:rPr>
          <w:rFonts w:ascii="Times New Roman" w:hAnsi="Times New Roman" w:cs="Times New Roman"/>
          <w:sz w:val="24"/>
          <w:szCs w:val="24"/>
        </w:rPr>
        <w:t xml:space="preserve"> </w:t>
      </w:r>
      <w:r w:rsidRPr="00635B72">
        <w:rPr>
          <w:rFonts w:ascii="Times New Roman" w:hAnsi="Times New Roman" w:cs="Times New Roman"/>
          <w:sz w:val="24"/>
          <w:szCs w:val="24"/>
        </w:rPr>
        <w:t>BNP Paribas online trading platform. City Union Banlo</w:t>
      </w:r>
      <w:r w:rsidR="67810FFA" w:rsidRPr="00635B72">
        <w:rPr>
          <w:rFonts w:ascii="Times New Roman" w:hAnsi="Times New Roman" w:cs="Times New Roman"/>
          <w:sz w:val="24"/>
          <w:szCs w:val="24"/>
        </w:rPr>
        <w:t xml:space="preserve"> </w:t>
      </w:r>
      <w:r w:rsidRPr="00635B72">
        <w:rPr>
          <w:rFonts w:ascii="Times New Roman" w:hAnsi="Times New Roman" w:cs="Times New Roman"/>
          <w:sz w:val="24"/>
          <w:szCs w:val="24"/>
        </w:rPr>
        <w:t>Geojit</w:t>
      </w:r>
      <w:r w:rsidR="3FD70117" w:rsidRPr="00635B72">
        <w:rPr>
          <w:rFonts w:ascii="Times New Roman" w:hAnsi="Times New Roman" w:cs="Times New Roman"/>
          <w:sz w:val="24"/>
          <w:szCs w:val="24"/>
        </w:rPr>
        <w:t xml:space="preserve"> </w:t>
      </w:r>
      <w:r w:rsidRPr="00635B72">
        <w:rPr>
          <w:rFonts w:ascii="Times New Roman" w:hAnsi="Times New Roman" w:cs="Times New Roman"/>
          <w:sz w:val="24"/>
          <w:szCs w:val="24"/>
        </w:rPr>
        <w:t>BNP Paribas interface is developed jointly by City Union Bank and Geojit Technologies (P)Ltd.</w:t>
      </w:r>
    </w:p>
    <w:p w:rsidR="00CA5082" w:rsidRPr="00635B72" w:rsidRDefault="00CA5082" w:rsidP="1E98F21E">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lastRenderedPageBreak/>
        <w:t>The launch of 'CUB-SHARE-TRADE' reflects the Bank's commitment to offer state-of- the-art products and services to its customers. The product will be available to the Bank's customers across the country through its network of 222 branches. City Union Bank's customers can open 3-in-1 integrated accounts comprising of a savings account with the Bank, and a demat account and online trading account with Geojit</w:t>
      </w:r>
      <w:r w:rsidR="7C17FB16" w:rsidRPr="00635B72">
        <w:rPr>
          <w:rFonts w:ascii="Times New Roman" w:hAnsi="Times New Roman" w:cs="Times New Roman"/>
          <w:sz w:val="24"/>
          <w:szCs w:val="24"/>
        </w:rPr>
        <w:t xml:space="preserve"> </w:t>
      </w:r>
      <w:r w:rsidRPr="00635B72">
        <w:rPr>
          <w:rFonts w:ascii="Times New Roman" w:hAnsi="Times New Roman" w:cs="Times New Roman"/>
          <w:sz w:val="24"/>
          <w:szCs w:val="24"/>
        </w:rPr>
        <w:t xml:space="preserve">BNP Paribas. Through CUB-SHARE-TRADE, Bank's customers can block funds in their bank account to  purchase shares and can view their demat holdings. In case of sell orders, the  trading system will check the balance in their demat account with Geojit BNP Paribas, before sending the order to </w:t>
      </w:r>
      <w:r w:rsidR="082E2982" w:rsidRPr="00635B72">
        <w:rPr>
          <w:rFonts w:ascii="Times New Roman" w:hAnsi="Times New Roman" w:cs="Times New Roman"/>
          <w:sz w:val="24"/>
          <w:szCs w:val="24"/>
        </w:rPr>
        <w:t>the Exchange</w:t>
      </w:r>
      <w:r w:rsidRPr="00635B72">
        <w:rPr>
          <w:rFonts w:ascii="Times New Roman" w:hAnsi="Times New Roman" w:cs="Times New Roman"/>
          <w:sz w:val="24"/>
          <w:szCs w:val="24"/>
        </w:rPr>
        <w:t>.</w:t>
      </w:r>
    </w:p>
    <w:p w:rsidR="005F1AFF" w:rsidRPr="00635B72" w:rsidRDefault="005F1AFF" w:rsidP="00275966">
      <w:pPr>
        <w:spacing w:before="24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t>DEPARTMENTAL STUDIES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Departmental study is an important part of the organizational study. It helps to understand the structure, functions, responsibilities, and working pattern of different departments in an organization. In Geojit Financial Services, Kannur, various departments work together to provide effective financial and investment services to customers. Each department has a specific role in supporting investors, maintaining records, providing advisory services, handling transactions, and ensuring customer satisfaction.</w:t>
      </w:r>
    </w:p>
    <w:p w:rsidR="002A3E64"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major departments of Geojit Financial Services, Kannur are explained below:</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 Customer Service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Customer Service Department is one of the most important departments in Geojit Financial Services. This department directly deals with customers and provides assistance regarding account opening, investment services, trading-related queries, mutual fund transactions, and service requests. It acts as a link between the company and customers.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helps customers understand different services offered by the company, such as demat account, trading account, mutual fund investment, portfolio services, and online trading facilities. It also handles customer complaints, service issues, and follow-up activities. The main aim of the department is to provide timely support and maintain good customer relationships.</w:t>
      </w:r>
    </w:p>
    <w:p w:rsidR="00C6734E" w:rsidRPr="00635B72" w:rsidRDefault="00C6734E" w:rsidP="00275966">
      <w:pPr>
        <w:spacing w:before="240" w:line="360" w:lineRule="auto"/>
        <w:jc w:val="both"/>
        <w:rPr>
          <w:rFonts w:ascii="Times New Roman" w:hAnsi="Times New Roman" w:cs="Times New Roman"/>
          <w:sz w:val="24"/>
          <w:szCs w:val="24"/>
        </w:rPr>
      </w:pPr>
    </w:p>
    <w:p w:rsidR="00C6734E" w:rsidRPr="00635B72" w:rsidRDefault="00C6734E" w:rsidP="00275966">
      <w:pPr>
        <w:spacing w:before="240" w:line="360" w:lineRule="auto"/>
        <w:jc w:val="both"/>
        <w:rPr>
          <w:rFonts w:ascii="Times New Roman" w:hAnsi="Times New Roman" w:cs="Times New Roman"/>
          <w:sz w:val="24"/>
          <w:szCs w:val="24"/>
        </w:rPr>
      </w:pP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2. Sales and Marketing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Sales and Marketing Department is responsible for promoting the financial products and services offered by Geojit Financial Services. This department identifies potential customers and explains various investment options such as mutual funds, equity trading, portfolio management services, insurance, and other financial products.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conducts promotional activities, customer meetings, awareness programmes, and follow-up calls to attract new investors. It also helps in increasing the customer base of the branch. The sales team plays an important role in understanding customer needs and suggesting suitable financial products based on their investment goals and risk-taking capacity.</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3. Mutual Fund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Mutual Fund Department deals with mutual fund investment services. This department provides information about different types of mutual fund schemes such as equity funds, debt funds, hybrid funds, index funds, liquid funds, and tax-saving funds. It helps customers select suitable mutual fund schemes according to their financial goals, investment period, and risk profile.</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also assists customers in starting Systematic Investment Plans (SIPs), lump sum investments, redemption, switch, and other mutual fund transactions. It provides guidance regarding fund performance, risk level, return expectation, and investment planning. The Mutual Fund Department plays an important role in promoting disciplined investment habits among customers.</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4. Equity Trading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Equity Trading Department supports customers in buying and selling shares in the stock market. It provides trading facilities through online and offline modes. The department helps customers understand market trends, share prices, trading procedures, and investment opportunities in equity markets.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This department also provides research-based information and market updates to investors. It assists customers in placing orders, monitoring transactions, and understanding trading </w:t>
      </w:r>
      <w:r w:rsidRPr="00635B72">
        <w:rPr>
          <w:rFonts w:ascii="Times New Roman" w:hAnsi="Times New Roman" w:cs="Times New Roman"/>
          <w:sz w:val="24"/>
          <w:szCs w:val="24"/>
        </w:rPr>
        <w:lastRenderedPageBreak/>
        <w:t>risks. The main function of the Equity Trading Department is to provide smooth and efficient trading services to customers.</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5. Demat and Account Opening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Demat and Account Opening Department is responsible for opening demat accounts and trading accounts for customers. A demat account is necessary for holding shares and securities in electronic form. This department collects customer documents, verifies KYC details, and completes the account opening process.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ensures that all documents such as identity proof, address proof, PAN card, bank details, and photographs are properly collected and verified. It also helps customers understand the use of demat accounts, trading accounts, and online platforms. Proper functioning of this department is important for providing smooth investment services.</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6. Research and Advisory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Research and Advisory Department provides market-related information, investment suggestions, and financial guidance to customers. This department studies market trends, company performance, economic conditions, mutual fund performance, and investment opportunities. Based on research, it provides suitable advice to investors.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helps customers make informed investment decisions. It provides recommendations related to equity investment, mutual fund schemes, portfolio allocation, and risk management. The advisory service is useful for investors who do not have detailed knowledge about financial markets.</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7. Operations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Operations Department handles the back-office activities of the branch. It is responsible for processing transactions, maintaining records, verifying documents, updating customer details, and ensuring smooth functioning of daily activities. This department supports other departments by completing administrative and operational work.</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 xml:space="preserve">The department also ensures that customer transactions are processed accurately and on time. It coordinates with the head office and other branches for account updates, transaction </w:t>
      </w:r>
      <w:r w:rsidRPr="00635B72">
        <w:rPr>
          <w:rFonts w:ascii="Times New Roman" w:hAnsi="Times New Roman" w:cs="Times New Roman"/>
          <w:sz w:val="24"/>
          <w:szCs w:val="24"/>
        </w:rPr>
        <w:lastRenderedPageBreak/>
        <w:t>confirmations, and compliance-related activities. The efficiency of the Operations Department helps in improving customer satisfaction.</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8. Compliance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Compliance Department ensures that the branch follows all rules, regulations, and guidelines issued by regulatory authorities such as SEBI, stock exchanges, and other financial institutions. This department checks whether customer documents, transactions, and advisory services are carried out according to legal and regulatory requirements.</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helps prevent errors, fraud, and misuse of financial services. It ensures transparency and ethical practices in business operations. Compliance is very important in financial service organizations because they deal with public money and investment activities.</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9. Finance and Accounts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Finance and Accounts Department manages the financial records and accounting activities of the branch. It maintains records related to income, expenses, commissions, branch costs, and other financial transactions. This department helps in monitoring the financial performance of the branch.</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department also prepares financial reports and supports the management in decision-making. It ensures proper recording of transactions and helps in maintaining financial discipline within the organization.</w:t>
      </w:r>
    </w:p>
    <w:p w:rsidR="005F1AFF" w:rsidRPr="00635B72" w:rsidRDefault="005F1AFF" w:rsidP="00275966">
      <w:pPr>
        <w:spacing w:before="240"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10. Human Resource Department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Human Resource Department is responsible for managing employees in the organization. It deals with recruitment, training, performance evaluation, employee welfare, attendance, and staff development. In a financial service organization like Geojit Financial Services, employee knowledge and customer handling skills are very important.</w:t>
      </w:r>
    </w:p>
    <w:p w:rsidR="005F1AFF" w:rsidRPr="00635B72" w:rsidRDefault="005F1AFF" w:rsidP="00275966">
      <w:pPr>
        <w:spacing w:before="240" w:line="360" w:lineRule="auto"/>
        <w:jc w:val="both"/>
        <w:rPr>
          <w:rFonts w:ascii="Times New Roman" w:hAnsi="Times New Roman" w:cs="Times New Roman"/>
          <w:sz w:val="24"/>
          <w:szCs w:val="24"/>
        </w:rPr>
      </w:pPr>
      <w:r w:rsidRPr="00635B72">
        <w:rPr>
          <w:rFonts w:ascii="Times New Roman" w:hAnsi="Times New Roman" w:cs="Times New Roman"/>
          <w:sz w:val="24"/>
          <w:szCs w:val="24"/>
        </w:rPr>
        <w:t>The HR Department helps employees improve their skills through training programmes related to financial products, customer service, communication, and regulatory requirements. It also motivates employees and helps maintain a good working environment.</w:t>
      </w:r>
    </w:p>
    <w:p w:rsidR="004B230D" w:rsidRPr="00635B72" w:rsidRDefault="004B230D" w:rsidP="00275966">
      <w:pPr>
        <w:pStyle w:val="NoSpacing"/>
        <w:spacing w:before="240" w:after="200" w:line="360" w:lineRule="auto"/>
        <w:jc w:val="both"/>
        <w:rPr>
          <w:rFonts w:ascii="Times New Roman" w:hAnsi="Times New Roman" w:cs="Times New Roman"/>
          <w:sz w:val="24"/>
          <w:szCs w:val="24"/>
        </w:rPr>
      </w:pPr>
    </w:p>
    <w:p w:rsidR="003503B0" w:rsidRPr="00635B72" w:rsidRDefault="003503B0" w:rsidP="003503B0">
      <w:pPr>
        <w:spacing w:line="360" w:lineRule="auto"/>
        <w:jc w:val="both"/>
        <w:rPr>
          <w:rFonts w:ascii="Times New Roman" w:hAnsi="Times New Roman" w:cs="Times New Roman"/>
          <w:b/>
          <w:bCs/>
          <w:sz w:val="28"/>
          <w:szCs w:val="24"/>
        </w:rPr>
      </w:pPr>
      <w:r w:rsidRPr="00635B72">
        <w:rPr>
          <w:rFonts w:ascii="Times New Roman" w:hAnsi="Times New Roman" w:cs="Times New Roman"/>
          <w:b/>
          <w:bCs/>
          <w:sz w:val="28"/>
          <w:szCs w:val="24"/>
        </w:rPr>
        <w:lastRenderedPageBreak/>
        <w:t>4.1 INTRODUCTION</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The study of investment behaviour analyses the psychological attitudes, cognitive evaluations, and decision-making frameworks that individuals utilize when selecting and managing financial assets. While traditional economic models assume that retail market participants operate as purely rational actors who process all information efficiently, real-world investors are frequently guided by emotional impulses, deeply held beliefs, and social dynamics.</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Investment behavior is inherently influenced by personal, financial, social, psychological, and market-related factors. Some investors are naturally risk-takers, while others prefer safe, conservative investment options. Furthermore, some investors depend heavily on professional financial advice, while others make critical choices based entirely on personal knowledge or recommendations from friends and relatives.</w:t>
      </w: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Behavioural Finance and Mutual Fund Investors</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Behavioural finance studies how psychological factors influence financial decisions. Traditional finance assumes that investors are rational, but behavioural finance explains that investors may be influenced by emotions, beliefs, biases, and social factors.</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In mutual fund investment, investors may be affected by behavioural biases such as:</w:t>
      </w: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Herd Behaviour</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Herd behaviour occurs when investors follow the actions of others without proper analysis. For example, investors may invest in a fund because many others are investing in it.</w:t>
      </w: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Overconfidence</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Overconfidence occurs when investors believe that they can predict market movements accurately. This may lead to risky investment decisions.</w:t>
      </w: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Loss Aversion</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Loss aversion means investors feel the pain of loss more strongly than the pleasure of gain. This may make investors withdraw investments during market decline.</w:t>
      </w:r>
    </w:p>
    <w:p w:rsidR="00F813D8" w:rsidRPr="00635B72" w:rsidRDefault="00F813D8" w:rsidP="003503B0">
      <w:pPr>
        <w:spacing w:line="360" w:lineRule="auto"/>
        <w:jc w:val="both"/>
        <w:rPr>
          <w:rFonts w:ascii="Times New Roman" w:hAnsi="Times New Roman" w:cs="Times New Roman"/>
          <w:sz w:val="24"/>
          <w:szCs w:val="24"/>
        </w:rPr>
      </w:pP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lastRenderedPageBreak/>
        <w:t>Anchoring</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Anchoring occurs when investors depend too much on past information or previous returns while making investment decisions.</w:t>
      </w:r>
    </w:p>
    <w:p w:rsidR="003503B0" w:rsidRPr="00635B72" w:rsidRDefault="003503B0" w:rsidP="003503B0">
      <w:pPr>
        <w:spacing w:line="360" w:lineRule="auto"/>
        <w:jc w:val="both"/>
        <w:rPr>
          <w:rFonts w:ascii="Times New Roman" w:hAnsi="Times New Roman" w:cs="Times New Roman"/>
          <w:b/>
          <w:bCs/>
          <w:sz w:val="24"/>
          <w:szCs w:val="24"/>
        </w:rPr>
      </w:pPr>
      <w:r w:rsidRPr="00635B72">
        <w:rPr>
          <w:rFonts w:ascii="Times New Roman" w:hAnsi="Times New Roman" w:cs="Times New Roman"/>
          <w:b/>
          <w:bCs/>
          <w:sz w:val="24"/>
          <w:szCs w:val="24"/>
        </w:rPr>
        <w:t>Mental Accounting</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Mental accounting means investors divide money into different mental categories and make decisions based on those categories rather than overall financial planning.</w:t>
      </w:r>
    </w:p>
    <w:p w:rsidR="003503B0" w:rsidRPr="00635B72" w:rsidRDefault="003503B0" w:rsidP="003503B0">
      <w:pPr>
        <w:spacing w:line="360" w:lineRule="auto"/>
        <w:jc w:val="both"/>
        <w:rPr>
          <w:rFonts w:ascii="Times New Roman" w:hAnsi="Times New Roman" w:cs="Times New Roman"/>
          <w:sz w:val="24"/>
          <w:szCs w:val="24"/>
        </w:rPr>
      </w:pPr>
      <w:r w:rsidRPr="00635B72">
        <w:rPr>
          <w:rFonts w:ascii="Times New Roman" w:hAnsi="Times New Roman" w:cs="Times New Roman"/>
          <w:sz w:val="24"/>
          <w:szCs w:val="24"/>
        </w:rPr>
        <w:t>Understanding behavioural finance helps financial advisors guide investors much more effectively towards their long-term financial goals.</w:t>
      </w:r>
    </w:p>
    <w:p w:rsidR="003503B0" w:rsidRPr="00635B72" w:rsidRDefault="003503B0"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F813D8" w:rsidRPr="00635B72" w:rsidRDefault="00F813D8" w:rsidP="00275966">
      <w:pPr>
        <w:pStyle w:val="NoSpacing"/>
        <w:spacing w:before="240" w:after="200" w:line="360" w:lineRule="auto"/>
        <w:jc w:val="both"/>
        <w:rPr>
          <w:rFonts w:ascii="Times New Roman" w:hAnsi="Times New Roman" w:cs="Times New Roman"/>
          <w:sz w:val="24"/>
          <w:szCs w:val="24"/>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Age of Respondents</w:t>
      </w:r>
    </w:p>
    <w:tbl>
      <w:tblPr>
        <w:tblStyle w:val="TableGrid"/>
        <w:tblW w:w="8387" w:type="dxa"/>
        <w:jc w:val="center"/>
        <w:tblLook w:val="04A0" w:firstRow="1" w:lastRow="0" w:firstColumn="1" w:lastColumn="0" w:noHBand="0" w:noVBand="1"/>
      </w:tblPr>
      <w:tblGrid>
        <w:gridCol w:w="2743"/>
        <w:gridCol w:w="3497"/>
        <w:gridCol w:w="2147"/>
      </w:tblGrid>
      <w:tr w:rsidR="00870DB9" w:rsidRPr="00635B72" w:rsidTr="00E41597">
        <w:trPr>
          <w:trHeight w:val="55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Age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2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Upto 30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30.00</w:t>
            </w:r>
          </w:p>
        </w:tc>
      </w:tr>
      <w:tr w:rsidR="00870DB9" w:rsidRPr="00635B72" w:rsidTr="00E41597">
        <w:trPr>
          <w:trHeight w:val="55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31–40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25.00</w:t>
            </w:r>
          </w:p>
        </w:tc>
      </w:tr>
      <w:tr w:rsidR="00870DB9" w:rsidRPr="00635B72" w:rsidTr="00E41597">
        <w:trPr>
          <w:trHeight w:val="52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41–50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55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51–60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15.00</w:t>
            </w:r>
          </w:p>
        </w:tc>
      </w:tr>
      <w:tr w:rsidR="00870DB9" w:rsidRPr="00635B72" w:rsidTr="00E41597">
        <w:trPr>
          <w:trHeight w:val="52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Above 60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52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Age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692581" cy="2783394"/>
            <wp:effectExtent l="0" t="0" r="13335" b="1714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4.1 shows the age of respondents. 30.00% of the respondents are upto 30 years, 25.00% are in the age group of 31–40 years, 20.00% are in the age group of 41–50 years, 15.00% are in the age group of 51–60 years, and 10.00% are above 60 years.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Gender of Respondents</w:t>
      </w:r>
    </w:p>
    <w:tbl>
      <w:tblPr>
        <w:tblStyle w:val="TableGrid"/>
        <w:tblW w:w="8397" w:type="dxa"/>
        <w:jc w:val="center"/>
        <w:tblLook w:val="04A0" w:firstRow="1" w:lastRow="0" w:firstColumn="1" w:lastColumn="0" w:noHBand="0" w:noVBand="1"/>
      </w:tblPr>
      <w:tblGrid>
        <w:gridCol w:w="2824"/>
        <w:gridCol w:w="3453"/>
        <w:gridCol w:w="2120"/>
      </w:tblGrid>
      <w:tr w:rsidR="00870DB9" w:rsidRPr="00635B72" w:rsidTr="00E41597">
        <w:trPr>
          <w:trHeight w:val="63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Gender</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63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Male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56.00</w:t>
            </w:r>
          </w:p>
        </w:tc>
      </w:tr>
      <w:tr w:rsidR="00870DB9" w:rsidRPr="00635B72" w:rsidTr="00E41597">
        <w:trPr>
          <w:trHeight w:val="63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Female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63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Prefer not to say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63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sz w:val="24"/>
          <w:szCs w:val="24"/>
          <w:lang w:eastAsia="en-IN"/>
        </w:rPr>
      </w:pPr>
      <w:r w:rsidRPr="00635B72">
        <w:rPr>
          <w:rFonts w:ascii="Times New Roman" w:hAnsi="Times New Roman" w:cs="Times New Roman"/>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Gender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4.2 shows the gender of respondents. 56.00% of the respondents are male, 42.00% are female, and 2.00% prefer not to say their gender.</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Educational Qualification of Respondents</w:t>
      </w:r>
    </w:p>
    <w:tbl>
      <w:tblPr>
        <w:tblStyle w:val="TableGrid"/>
        <w:tblW w:w="8101" w:type="dxa"/>
        <w:jc w:val="center"/>
        <w:tblLook w:val="04A0" w:firstRow="1" w:lastRow="0" w:firstColumn="1" w:lastColumn="0" w:noHBand="0" w:noVBand="1"/>
      </w:tblPr>
      <w:tblGrid>
        <w:gridCol w:w="3063"/>
        <w:gridCol w:w="3121"/>
        <w:gridCol w:w="1917"/>
      </w:tblGrid>
      <w:tr w:rsidR="00870DB9" w:rsidRPr="00635B72" w:rsidTr="00E41597">
        <w:trPr>
          <w:trHeight w:val="56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Education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8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Upto HSC</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56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Graduation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48.00</w:t>
            </w:r>
          </w:p>
        </w:tc>
      </w:tr>
      <w:tr w:rsidR="00870DB9" w:rsidRPr="00635B72" w:rsidTr="00E41597">
        <w:trPr>
          <w:trHeight w:val="56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PG</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56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Professional Degree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56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Educational Qualification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5094515" cy="2431701"/>
            <wp:effectExtent l="0" t="0" r="11430" b="698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 shows the educational qualification of respondents. 18.00% of the respondents are upto HSC, 48.00% are graduates, 24.00% are postgraduates, and 10.00% have professional degrees.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Default="00870DB9" w:rsidP="00870DB9">
      <w:pPr>
        <w:pStyle w:val="NoSpacing"/>
        <w:spacing w:line="360" w:lineRule="auto"/>
        <w:jc w:val="both"/>
        <w:rPr>
          <w:rFonts w:ascii="Times New Roman" w:hAnsi="Times New Roman" w:cs="Times New Roman"/>
          <w:sz w:val="24"/>
          <w:szCs w:val="24"/>
          <w:lang w:eastAsia="en-IN"/>
        </w:rPr>
      </w:pPr>
    </w:p>
    <w:p w:rsidR="003B7B75" w:rsidRPr="00635B72" w:rsidRDefault="003B7B75"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b/>
          <w:bCs/>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Occupation of Respondents</w:t>
      </w:r>
    </w:p>
    <w:tbl>
      <w:tblPr>
        <w:tblStyle w:val="TableGrid"/>
        <w:tblW w:w="7281" w:type="dxa"/>
        <w:jc w:val="center"/>
        <w:tblLook w:val="04A0" w:firstRow="1" w:lastRow="0" w:firstColumn="1" w:lastColumn="0" w:noHBand="0" w:noVBand="1"/>
      </w:tblPr>
      <w:tblGrid>
        <w:gridCol w:w="2312"/>
        <w:gridCol w:w="3079"/>
        <w:gridCol w:w="1890"/>
      </w:tblGrid>
      <w:tr w:rsidR="00870DB9" w:rsidRPr="00635B72" w:rsidTr="00E41597">
        <w:trPr>
          <w:trHeight w:val="45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Occupation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7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Student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5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Salaried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45.00</w:t>
            </w:r>
          </w:p>
        </w:tc>
      </w:tr>
      <w:tr w:rsidR="00870DB9" w:rsidRPr="00635B72" w:rsidTr="00E41597">
        <w:trPr>
          <w:trHeight w:val="45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Self Employed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45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Housewife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7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Professional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15.00</w:t>
            </w:r>
          </w:p>
        </w:tc>
      </w:tr>
      <w:tr w:rsidR="00870DB9" w:rsidRPr="00635B72" w:rsidTr="00E41597">
        <w:trPr>
          <w:trHeight w:val="458"/>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Occupation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 shows the occupation of respondents. 12.00% of the respondents are students, 45.00% are salaried employees, 20.00% are self employed, 8.00% are housewives, and 15.00% are professionals.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b/>
          <w:bCs/>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4.5</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Monthly Income of Respondents</w:t>
      </w:r>
    </w:p>
    <w:tbl>
      <w:tblPr>
        <w:tblStyle w:val="TableGrid"/>
        <w:tblW w:w="7391" w:type="dxa"/>
        <w:jc w:val="center"/>
        <w:tblLook w:val="04A0" w:firstRow="1" w:lastRow="0" w:firstColumn="1" w:lastColumn="0" w:noHBand="0" w:noVBand="1"/>
      </w:tblPr>
      <w:tblGrid>
        <w:gridCol w:w="2639"/>
        <w:gridCol w:w="2944"/>
        <w:gridCol w:w="1808"/>
      </w:tblGrid>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Monthly Income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6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Upto ₹25,000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22.00</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₹25,001–₹50,000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₹50,001–₹75,000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₹75,001–₹1 lakh</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6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 lakh and above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4.5</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Monthly Income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4.5 shows the monthly income of respondents. 22.00% of the respondents have monthly income upto ₹25,000, 36.00% have income between ₹25,001–₹50,000, 24.00% have income between ₹50,001–₹75,000, 12.00% have income between ₹75,001–₹1 lakh, and 6.00% have monthly income of ₹1 lakh and above.</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4.6</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Marital Status of Respondents</w:t>
      </w:r>
    </w:p>
    <w:tbl>
      <w:tblPr>
        <w:tblStyle w:val="TableGrid"/>
        <w:tblW w:w="7214" w:type="dxa"/>
        <w:jc w:val="center"/>
        <w:tblLook w:val="04A0" w:firstRow="1" w:lastRow="0" w:firstColumn="1" w:lastColumn="0" w:noHBand="0" w:noVBand="1"/>
      </w:tblPr>
      <w:tblGrid>
        <w:gridCol w:w="2341"/>
        <w:gridCol w:w="3019"/>
        <w:gridCol w:w="1854"/>
      </w:tblGrid>
      <w:tr w:rsidR="00870DB9" w:rsidRPr="00635B72" w:rsidTr="00E41597">
        <w:trPr>
          <w:trHeight w:val="6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Marital Status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65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Married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58.00</w:t>
            </w:r>
          </w:p>
        </w:tc>
      </w:tr>
      <w:tr w:rsidR="00870DB9" w:rsidRPr="00635B72" w:rsidTr="00E41597">
        <w:trPr>
          <w:trHeight w:val="6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Unmarried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6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4.6</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Marital Status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4.6 shows the marital status of respondents. 58.00% of the respondents are married and 42.00% are unmarried.</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4.7</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Annual Savings of Respondents</w:t>
      </w:r>
    </w:p>
    <w:tbl>
      <w:tblPr>
        <w:tblStyle w:val="TableGrid"/>
        <w:tblW w:w="7444" w:type="dxa"/>
        <w:jc w:val="center"/>
        <w:tblLook w:val="04A0" w:firstRow="1" w:lastRow="0" w:firstColumn="1" w:lastColumn="0" w:noHBand="0" w:noVBand="1"/>
      </w:tblPr>
      <w:tblGrid>
        <w:gridCol w:w="2900"/>
        <w:gridCol w:w="2815"/>
        <w:gridCol w:w="1729"/>
      </w:tblGrid>
      <w:tr w:rsidR="00870DB9" w:rsidRPr="00635B72" w:rsidTr="00E41597">
        <w:trPr>
          <w:trHeight w:val="49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Annual Savings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Less than ₹50,000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49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₹50,001 to ₹1,00,000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46.00</w:t>
            </w:r>
          </w:p>
        </w:tc>
      </w:tr>
      <w:tr w:rsidR="00870DB9" w:rsidRPr="00635B72" w:rsidTr="00E41597">
        <w:trPr>
          <w:trHeight w:val="49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Above ₹1,00,000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26.00</w:t>
            </w:r>
          </w:p>
        </w:tc>
      </w:tr>
      <w:tr w:rsidR="00870DB9" w:rsidRPr="00635B72" w:rsidTr="00E41597">
        <w:trPr>
          <w:trHeight w:val="49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4.7</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Annual Savings of Respondents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4.7 shows the annual savings of respondents. 28.00% of the respondents have annual savings less than ₹50,000, 46.00% have annual savings between ₹50,001 to ₹1,00,000, and 26.00% have annual savings above ₹1,00,000.</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4.8</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Period of Investment in Mutual Funds</w:t>
      </w:r>
    </w:p>
    <w:tbl>
      <w:tblPr>
        <w:tblStyle w:val="TableGrid"/>
        <w:tblW w:w="7379" w:type="dxa"/>
        <w:jc w:val="center"/>
        <w:tblLook w:val="04A0" w:firstRow="1" w:lastRow="0" w:firstColumn="1" w:lastColumn="0" w:noHBand="0" w:noVBand="1"/>
      </w:tblPr>
      <w:tblGrid>
        <w:gridCol w:w="2950"/>
        <w:gridCol w:w="2744"/>
        <w:gridCol w:w="1685"/>
      </w:tblGrid>
      <w:tr w:rsidR="00870DB9" w:rsidRPr="00635B72" w:rsidTr="00E41597">
        <w:trPr>
          <w:trHeight w:val="51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Period of 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3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Less than 1 year</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51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1–3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51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25.00</w:t>
            </w:r>
          </w:p>
        </w:tc>
      </w:tr>
      <w:tr w:rsidR="00870DB9" w:rsidRPr="00635B72" w:rsidTr="00E41597">
        <w:trPr>
          <w:trHeight w:val="51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More than 5 years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15.00</w:t>
            </w:r>
          </w:p>
        </w:tc>
      </w:tr>
      <w:tr w:rsidR="00870DB9" w:rsidRPr="00635B72" w:rsidTr="00E41597">
        <w:trPr>
          <w:trHeight w:val="51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4.8</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Period of Investment in Mutual Funds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4.8 shows the period of investment in mutual funds. 18.00% of the respondents have been investing in mutual funds for less than 1 year, 42.00% have been investing for 1–3 years, 25.00% have been investing for 3–5 years, and 15.00% have been investing for more than 5 years.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4.9</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Mode of Investment in Mutual Funds</w:t>
      </w:r>
    </w:p>
    <w:tbl>
      <w:tblPr>
        <w:tblStyle w:val="TableGrid"/>
        <w:tblW w:w="7524" w:type="dxa"/>
        <w:jc w:val="center"/>
        <w:tblLook w:val="04A0" w:firstRow="1" w:lastRow="0" w:firstColumn="1" w:lastColumn="0" w:noHBand="0" w:noVBand="1"/>
      </w:tblPr>
      <w:tblGrid>
        <w:gridCol w:w="2937"/>
        <w:gridCol w:w="2842"/>
        <w:gridCol w:w="1745"/>
      </w:tblGrid>
      <w:tr w:rsidR="00870DB9" w:rsidRPr="00635B72" w:rsidTr="00E41597">
        <w:trPr>
          <w:trHeight w:val="55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Mode of 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SIP</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52.00</w:t>
            </w:r>
          </w:p>
        </w:tc>
      </w:tr>
      <w:tr w:rsidR="00870DB9" w:rsidRPr="00635B72" w:rsidTr="00E41597">
        <w:trPr>
          <w:trHeight w:val="55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Lump Sum</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55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Both</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30.00</w:t>
            </w:r>
          </w:p>
        </w:tc>
      </w:tr>
      <w:tr w:rsidR="00870DB9" w:rsidRPr="00635B72" w:rsidTr="00E41597">
        <w:trPr>
          <w:trHeight w:val="55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4.9</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Mode of Investment in Mutual Funds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4.9 shows the mode of investment in mutual funds. 52.00% of the respondents usually invest through SIP, 18.00% invest through lump sum, and 30.00% invest through both SIP and lump sum.</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Monthly Investment in Mutual Funds</w:t>
      </w:r>
    </w:p>
    <w:tbl>
      <w:tblPr>
        <w:tblStyle w:val="TableGrid"/>
        <w:tblW w:w="7245" w:type="dxa"/>
        <w:jc w:val="center"/>
        <w:tblLook w:val="04A0" w:firstRow="1" w:lastRow="0" w:firstColumn="1" w:lastColumn="0" w:noHBand="0" w:noVBand="1"/>
      </w:tblPr>
      <w:tblGrid>
        <w:gridCol w:w="2853"/>
        <w:gridCol w:w="2721"/>
        <w:gridCol w:w="1671"/>
      </w:tblGrid>
      <w:tr w:rsidR="00870DB9" w:rsidRPr="00635B72" w:rsidTr="00E41597">
        <w:trPr>
          <w:trHeight w:val="4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Monthly 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9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Below ₹5,000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4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₹5,001–₹10,000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4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₹10,001–₹25,000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4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Above ₹25,000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7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4.10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Monthly Investment in Mutual Funds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4.10 shows the monthly investment in mutual funds. 38.00% of the respondents invest below ₹5,000 per month in mutual funds, 34.00% invest between ₹5,001–₹10,000, 20.00% invest between ₹10,001–₹25,000, and 8.00% invest above ₹25,000 per month.</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137555" w:rsidRPr="00635B72" w:rsidRDefault="00137555"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Preferred Investment Period</w:t>
      </w:r>
    </w:p>
    <w:tbl>
      <w:tblPr>
        <w:tblStyle w:val="TableGrid"/>
        <w:tblW w:w="0" w:type="auto"/>
        <w:jc w:val="center"/>
        <w:tblLook w:val="04A0" w:firstRow="1" w:lastRow="0" w:firstColumn="1" w:lastColumn="0" w:noHBand="0" w:noVBand="1"/>
      </w:tblPr>
      <w:tblGrid>
        <w:gridCol w:w="3162"/>
        <w:gridCol w:w="2743"/>
        <w:gridCol w:w="2268"/>
      </w:tblGrid>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Investment Period</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Less than 1 year</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1–3 years</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 years</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Above 5 years</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26.00</w:t>
            </w:r>
          </w:p>
        </w:tc>
      </w:tr>
      <w:tr w:rsidR="00870DB9" w:rsidRPr="00635B72" w:rsidTr="00E41597">
        <w:trPr>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74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268"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w:t>
      </w:r>
      <w:r w:rsidR="00EE5215" w:rsidRPr="00635B72">
        <w:rPr>
          <w:rFonts w:ascii="Times New Roman" w:hAnsi="Times New Roman" w:cs="Times New Roman"/>
          <w:b/>
          <w:bCs/>
          <w:sz w:val="24"/>
          <w:szCs w:val="24"/>
          <w:lang w:eastAsia="en-IN"/>
        </w:rPr>
        <w:t>11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Preferred Investment Period</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4.11 shows the preferred investment period of respondents. 12.00% of the respondents prefer an investment period of less than 1 year, 28.00% prefer 1–3 years, 34.00% prefer 3–5 years, and 26.00% prefer above 5 years.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Review of Mutual Fund Investments</w:t>
      </w:r>
    </w:p>
    <w:tbl>
      <w:tblPr>
        <w:tblStyle w:val="TableGrid"/>
        <w:tblW w:w="7297" w:type="dxa"/>
        <w:jc w:val="center"/>
        <w:tblLook w:val="04A0" w:firstRow="1" w:lastRow="0" w:firstColumn="1" w:lastColumn="0" w:noHBand="0" w:noVBand="1"/>
      </w:tblPr>
      <w:tblGrid>
        <w:gridCol w:w="2368"/>
        <w:gridCol w:w="3054"/>
        <w:gridCol w:w="1875"/>
      </w:tblGrid>
      <w:tr w:rsidR="00870DB9" w:rsidRPr="00635B72" w:rsidTr="00E41597">
        <w:trPr>
          <w:trHeight w:val="42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Review Period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Monthly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32.00</w:t>
            </w:r>
          </w:p>
        </w:tc>
      </w:tr>
      <w:tr w:rsidR="00870DB9" w:rsidRPr="00635B72" w:rsidTr="00E41597">
        <w:trPr>
          <w:trHeight w:val="42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Quarterly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42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Half-yearly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42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Yearly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2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4.12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Review of Mutual Fund Investments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b/>
          <w:bCs/>
          <w:sz w:val="24"/>
          <w:szCs w:val="24"/>
          <w:lang w:eastAsia="en-IN"/>
        </w:rPr>
        <w:br/>
      </w:r>
      <w:r w:rsidRPr="00635B72">
        <w:rPr>
          <w:rFonts w:ascii="Times New Roman" w:hAnsi="Times New Roman" w:cs="Times New Roman"/>
          <w:sz w:val="24"/>
          <w:szCs w:val="24"/>
          <w:lang w:eastAsia="en-IN"/>
        </w:rPr>
        <w:t>Table 4.12 shows how often respondents review their mutual fund investments. 32.00% of the respondents review their investments monthly, 38.00% review quarterly, 18.00% review half-yearly, and 12.00% review yearly.</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137555" w:rsidRPr="00635B72" w:rsidRDefault="00137555"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Regular Investment in Mutual Funds</w:t>
      </w:r>
    </w:p>
    <w:tbl>
      <w:tblPr>
        <w:tblStyle w:val="TableGrid"/>
        <w:tblW w:w="8705" w:type="dxa"/>
        <w:jc w:val="center"/>
        <w:tblLook w:val="04A0" w:firstRow="1" w:lastRow="0" w:firstColumn="1" w:lastColumn="0" w:noHBand="0" w:noVBand="1"/>
      </w:tblPr>
      <w:tblGrid>
        <w:gridCol w:w="3397"/>
        <w:gridCol w:w="2835"/>
        <w:gridCol w:w="2473"/>
      </w:tblGrid>
      <w:tr w:rsidR="00870DB9" w:rsidRPr="00635B72" w:rsidTr="00E41597">
        <w:trPr>
          <w:trHeight w:val="5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Regular Investment in Mutual Funds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47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4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Yes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62</w:t>
            </w:r>
          </w:p>
        </w:tc>
        <w:tc>
          <w:tcPr>
            <w:tcW w:w="24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62.00</w:t>
            </w:r>
          </w:p>
        </w:tc>
      </w:tr>
      <w:tr w:rsidR="00870DB9" w:rsidRPr="00635B72" w:rsidTr="00E41597">
        <w:trPr>
          <w:trHeight w:val="5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24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5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Maybe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24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5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47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4.13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Regular Investment in Mutual Funds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4.13 shows whether respondents invest regularly in mutual funds. 62.00% of the respondents invest regularly in mutual funds, 18.00% do not invest regularly, and 20.00% responded maybe.</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4.14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Diversification of Investments Across Schemes</w:t>
      </w:r>
    </w:p>
    <w:tbl>
      <w:tblPr>
        <w:tblStyle w:val="TableGrid"/>
        <w:tblW w:w="8333" w:type="dxa"/>
        <w:jc w:val="center"/>
        <w:tblLook w:val="04A0" w:firstRow="1" w:lastRow="0" w:firstColumn="1" w:lastColumn="0" w:noHBand="0" w:noVBand="1"/>
      </w:tblPr>
      <w:tblGrid>
        <w:gridCol w:w="3256"/>
        <w:gridCol w:w="2835"/>
        <w:gridCol w:w="2242"/>
      </w:tblGrid>
      <w:tr w:rsidR="00870DB9" w:rsidRPr="00635B72" w:rsidTr="00E41597">
        <w:trPr>
          <w:trHeight w:val="514"/>
          <w:jc w:val="center"/>
        </w:trPr>
        <w:tc>
          <w:tcPr>
            <w:tcW w:w="3256"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Diversification of Investments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24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533"/>
          <w:jc w:val="center"/>
        </w:trPr>
        <w:tc>
          <w:tcPr>
            <w:tcW w:w="325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Yes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55</w:t>
            </w:r>
          </w:p>
        </w:tc>
        <w:tc>
          <w:tcPr>
            <w:tcW w:w="22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55.00</w:t>
            </w:r>
          </w:p>
        </w:tc>
      </w:tr>
      <w:tr w:rsidR="00870DB9" w:rsidRPr="00635B72" w:rsidTr="00E41597">
        <w:trPr>
          <w:trHeight w:val="514"/>
          <w:jc w:val="center"/>
        </w:trPr>
        <w:tc>
          <w:tcPr>
            <w:tcW w:w="325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17</w:t>
            </w:r>
          </w:p>
        </w:tc>
        <w:tc>
          <w:tcPr>
            <w:tcW w:w="22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17.00</w:t>
            </w:r>
          </w:p>
        </w:tc>
      </w:tr>
      <w:tr w:rsidR="00870DB9" w:rsidRPr="00635B72" w:rsidTr="00E41597">
        <w:trPr>
          <w:trHeight w:val="514"/>
          <w:jc w:val="center"/>
        </w:trPr>
        <w:tc>
          <w:tcPr>
            <w:tcW w:w="325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Sometimes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22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514"/>
          <w:jc w:val="center"/>
        </w:trPr>
        <w:tc>
          <w:tcPr>
            <w:tcW w:w="3256"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24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4.14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Diversification of Investments Across Schemes</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4.14 shows whether respondents diversify their investments across schemes. 55.00% of the respondents diversify their investments across schemes, 17.00% do not diversify their investments, and 28.00% diversify their investments sometimes.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4.15</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Type of Mutual Fund</w:t>
      </w:r>
    </w:p>
    <w:tbl>
      <w:tblPr>
        <w:tblStyle w:val="TableGrid"/>
        <w:tblW w:w="8202" w:type="dxa"/>
        <w:jc w:val="center"/>
        <w:tblLook w:val="04A0" w:firstRow="1" w:lastRow="0" w:firstColumn="1" w:lastColumn="0" w:noHBand="0" w:noVBand="1"/>
      </w:tblPr>
      <w:tblGrid>
        <w:gridCol w:w="4064"/>
        <w:gridCol w:w="2564"/>
        <w:gridCol w:w="1574"/>
      </w:tblGrid>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Type of Mutual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Equity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Debt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15.00</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Hybrid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Index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ELSS/Tax Saving Fund</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13</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13.00</w:t>
            </w:r>
          </w:p>
        </w:tc>
      </w:tr>
      <w:tr w:rsidR="00870DB9" w:rsidRPr="00635B72" w:rsidTr="00E41597">
        <w:trPr>
          <w:trHeight w:val="30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4.15</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Type of Mutual Fund</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w:t>
      </w:r>
      <w:r w:rsidRPr="00635B72">
        <w:rPr>
          <w:rFonts w:ascii="Times New Roman" w:hAnsi="Times New Roman" w:cs="Times New Roman"/>
          <w:sz w:val="24"/>
          <w:szCs w:val="24"/>
          <w:lang w:eastAsia="en-IN"/>
        </w:rPr>
        <w:t>n:</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sz w:val="24"/>
          <w:szCs w:val="24"/>
          <w:lang w:eastAsia="en-IN"/>
        </w:rPr>
        <w:br/>
        <w:t>Table 4.15 shows the preferred type of mutual fund among respondents. 38.00% of the respondents prefer equity fund, 15.00% prefer debt fund, 24.00% prefer hybrid fund, 10.00% prefer index fund, and 13.00% prefer ELSS/tax saving fund.</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4.16</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Level of Risk</w:t>
      </w:r>
    </w:p>
    <w:tbl>
      <w:tblPr>
        <w:tblStyle w:val="TableGrid"/>
        <w:tblW w:w="7064" w:type="dxa"/>
        <w:jc w:val="center"/>
        <w:tblLook w:val="04A0" w:firstRow="1" w:lastRow="0" w:firstColumn="1" w:lastColumn="0" w:noHBand="0" w:noVBand="1"/>
      </w:tblPr>
      <w:tblGrid>
        <w:gridCol w:w="3003"/>
        <w:gridCol w:w="2516"/>
        <w:gridCol w:w="1545"/>
      </w:tblGrid>
      <w:tr w:rsidR="00870DB9" w:rsidRPr="00635B72" w:rsidTr="00E41597">
        <w:trPr>
          <w:trHeight w:val="39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Level of Risk</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0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Low</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39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Moderate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58.00</w:t>
            </w:r>
          </w:p>
        </w:tc>
      </w:tr>
      <w:tr w:rsidR="00870DB9" w:rsidRPr="00635B72" w:rsidTr="00E41597">
        <w:trPr>
          <w:trHeight w:val="39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High</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39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4.16</w:t>
      </w:r>
    </w:p>
    <w:p w:rsidR="00F56A51" w:rsidRPr="00635B72" w:rsidRDefault="00F56A51" w:rsidP="00F56A51">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Level of Risk</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752975" cy="26860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t>:</w:t>
      </w:r>
      <w:r w:rsidRPr="00635B72">
        <w:rPr>
          <w:rFonts w:ascii="Times New Roman" w:hAnsi="Times New Roman" w:cs="Times New Roman"/>
          <w:sz w:val="24"/>
          <w:szCs w:val="24"/>
          <w:lang w:eastAsia="en-IN"/>
        </w:rPr>
        <w:br/>
        <w:t>Table 4.16 shows the preferred level of risk among respondents. 24.00% of the respondents prefer low risk, 58.00% prefer moderate risk, and 18.00% prefer high risk.</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4.17</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Purpose of Investing in Mutual Funds</w:t>
      </w:r>
    </w:p>
    <w:tbl>
      <w:tblPr>
        <w:tblStyle w:val="TableGrid"/>
        <w:tblW w:w="7068" w:type="dxa"/>
        <w:jc w:val="center"/>
        <w:tblLook w:val="04A0" w:firstRow="1" w:lastRow="0" w:firstColumn="1" w:lastColumn="0" w:noHBand="0" w:noVBand="1"/>
      </w:tblPr>
      <w:tblGrid>
        <w:gridCol w:w="3357"/>
        <w:gridCol w:w="2299"/>
        <w:gridCol w:w="1412"/>
      </w:tblGrid>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Purpose of Investing</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3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Retirement Planning</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Wealth Creation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Children’s Education/Marriage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Tax Benefit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43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Diversification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4.17</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Purpose of Investing in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819650" cy="24098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b/>
          <w:sz w:val="24"/>
          <w:szCs w:val="24"/>
          <w:lang w:eastAsia="en-IN"/>
        </w:rPr>
        <w:br/>
      </w:r>
      <w:r w:rsidRPr="00635B72">
        <w:rPr>
          <w:rFonts w:ascii="Times New Roman" w:hAnsi="Times New Roman" w:cs="Times New Roman"/>
          <w:sz w:val="24"/>
          <w:szCs w:val="24"/>
          <w:lang w:eastAsia="en-IN"/>
        </w:rPr>
        <w:t>Table 4.17 shows the purpose of investing in mutual funds. 20.00% of the respondents invest for retirement planning, 36.00% invest for wealth creation, 14.00% invest for children’s education/marriage, 18.00% invest for tax benefit, and 12.00% invest for diversification.</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4.18</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Channel of Investment in Mutual Funds</w:t>
      </w:r>
    </w:p>
    <w:tbl>
      <w:tblPr>
        <w:tblStyle w:val="TableGrid"/>
        <w:tblW w:w="7035" w:type="dxa"/>
        <w:jc w:val="center"/>
        <w:tblLook w:val="04A0" w:firstRow="1" w:lastRow="0" w:firstColumn="1" w:lastColumn="0" w:noHBand="0" w:noVBand="1"/>
      </w:tblPr>
      <w:tblGrid>
        <w:gridCol w:w="2990"/>
        <w:gridCol w:w="2506"/>
        <w:gridCol w:w="1539"/>
      </w:tblGrid>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Channel of 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0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Bank</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Online Platform</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Registrar/Transfer Agent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4.18</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Channel of Investment in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762500" cy="25241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4.18 shows the channel through which respondents invest in mutual funds. 24.00% of the respondents invest through agents, 18.00% invest through banks, 42.00% invest through online platforms, and 16.00% invest through registrar/transfer agents.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4.19</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Influence on Investment Decision</w:t>
      </w:r>
    </w:p>
    <w:tbl>
      <w:tblPr>
        <w:tblStyle w:val="TableGrid"/>
        <w:tblW w:w="7475" w:type="dxa"/>
        <w:jc w:val="center"/>
        <w:tblLook w:val="04A0" w:firstRow="1" w:lastRow="0" w:firstColumn="1" w:lastColumn="0" w:noHBand="0" w:noVBand="1"/>
      </w:tblPr>
      <w:tblGrid>
        <w:gridCol w:w="3777"/>
        <w:gridCol w:w="2291"/>
        <w:gridCol w:w="1407"/>
      </w:tblGrid>
      <w:tr w:rsidR="00870DB9" w:rsidRPr="00635B72" w:rsidTr="00E41597">
        <w:trPr>
          <w:trHeight w:val="42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Influence on Investment Decision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Self-decision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35.00</w:t>
            </w:r>
          </w:p>
        </w:tc>
      </w:tr>
      <w:tr w:rsidR="00870DB9" w:rsidRPr="00635B72" w:rsidTr="00E41597">
        <w:trPr>
          <w:trHeight w:val="42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Family/Friends/Relatives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42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Media Reports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42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Brokers/Bank Advice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Advertisement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7.00</w:t>
            </w:r>
          </w:p>
        </w:tc>
      </w:tr>
      <w:tr w:rsidR="00870DB9" w:rsidRPr="00635B72" w:rsidTr="00E41597">
        <w:trPr>
          <w:trHeight w:val="42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4.19</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Influence on Investment Decision</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657725" cy="25527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4.19 shows the influence on investment decision while investing in mutual funds. 35.00% of the respondents take investment decisions by themselves, 20.00% are influenced by family/friends/relatives, 10.00% are influenced by media reports, 28.00% are influenced by brokers/bank advice, and 7.00% are influenced by advertisement.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4.20</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Return Option</w:t>
      </w:r>
    </w:p>
    <w:tbl>
      <w:tblPr>
        <w:tblStyle w:val="TableGrid"/>
        <w:tblW w:w="7037" w:type="dxa"/>
        <w:jc w:val="center"/>
        <w:tblLook w:val="04A0" w:firstRow="1" w:lastRow="0" w:firstColumn="1" w:lastColumn="0" w:noHBand="0" w:noVBand="1"/>
      </w:tblPr>
      <w:tblGrid>
        <w:gridCol w:w="3099"/>
        <w:gridCol w:w="2440"/>
        <w:gridCol w:w="1498"/>
      </w:tblGrid>
      <w:tr w:rsidR="00870DB9" w:rsidRPr="00635B72" w:rsidTr="00E41597">
        <w:trPr>
          <w:trHeight w:val="37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Return Option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9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Growth Option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62.00</w:t>
            </w:r>
          </w:p>
        </w:tc>
      </w:tr>
      <w:tr w:rsidR="00870DB9" w:rsidRPr="00635B72" w:rsidTr="00E41597">
        <w:trPr>
          <w:trHeight w:val="37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Dividend Payout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22.00</w:t>
            </w:r>
          </w:p>
        </w:tc>
      </w:tr>
      <w:tr w:rsidR="00870DB9" w:rsidRPr="00635B72" w:rsidTr="00E41597">
        <w:trPr>
          <w:trHeight w:val="37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Dividend Reinvestment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16.00</w:t>
            </w:r>
          </w:p>
        </w:tc>
      </w:tr>
      <w:tr w:rsidR="00870DB9" w:rsidRPr="00635B72" w:rsidTr="00E41597">
        <w:trPr>
          <w:trHeight w:val="37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4.20</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Return Option</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619625" cy="25622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4.20 shows the preferred return option of respondents. 62.00% of the respondents prefer growth option, 22.00% prefer dividend payout, and 16.00% prefer dividend reinvestment.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4.21</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Withdrawal Option</w:t>
      </w:r>
    </w:p>
    <w:tbl>
      <w:tblPr>
        <w:tblStyle w:val="TableGrid"/>
        <w:tblW w:w="7356" w:type="dxa"/>
        <w:jc w:val="center"/>
        <w:tblLook w:val="04A0" w:firstRow="1" w:lastRow="0" w:firstColumn="1" w:lastColumn="0" w:noHBand="0" w:noVBand="1"/>
      </w:tblPr>
      <w:tblGrid>
        <w:gridCol w:w="3544"/>
        <w:gridCol w:w="2362"/>
        <w:gridCol w:w="1450"/>
      </w:tblGrid>
      <w:tr w:rsidR="00870DB9" w:rsidRPr="00635B72" w:rsidTr="00E41597">
        <w:trPr>
          <w:trHeight w:val="39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Withdrawal Option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1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Lump Sum/Full Withdrawal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39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Systematic Withdrawal Plan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39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Partial Withdrawal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39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4.21</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Preferred Withdrawal Option</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781550" cy="237172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b/>
          <w:sz w:val="24"/>
          <w:szCs w:val="24"/>
          <w:lang w:eastAsia="en-IN"/>
        </w:rPr>
        <w:br/>
      </w:r>
      <w:r w:rsidRPr="00635B72">
        <w:rPr>
          <w:rFonts w:ascii="Times New Roman" w:hAnsi="Times New Roman" w:cs="Times New Roman"/>
          <w:sz w:val="24"/>
          <w:szCs w:val="24"/>
          <w:lang w:eastAsia="en-IN"/>
        </w:rPr>
        <w:t>Table 4.21 shows the preferred withdrawal option of respondents. 34.00% of the respondents prefer lump sum/full withdrawal, 38.00% prefer systematic withdrawal plan, and 28.00% prefer partial withdrawal.</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4.22</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Factors Influencing Investment Decision</w:t>
      </w:r>
    </w:p>
    <w:tbl>
      <w:tblPr>
        <w:tblStyle w:val="TableGrid"/>
        <w:tblW w:w="7945" w:type="dxa"/>
        <w:jc w:val="center"/>
        <w:tblLook w:val="04A0" w:firstRow="1" w:lastRow="0" w:firstColumn="1" w:lastColumn="0" w:noHBand="0" w:noVBand="1"/>
      </w:tblPr>
      <w:tblGrid>
        <w:gridCol w:w="4380"/>
        <w:gridCol w:w="2209"/>
        <w:gridCol w:w="1356"/>
      </w:tblGrid>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Factors Influencing Investment Decision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2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Return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Risk</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Liquidity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Tax Benefits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2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Advisor Suggestion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Brand Reputation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4.22</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Factors Influencing Investment Decision</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838700" cy="252412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4.22 shows the factors influencing investment decision. 34.00% of the respondents are influenced by return, 24.00% are influenced by risk, 14.00% are influenced by liquidity, 12.00% are influenced by tax benefits, 10.00% are influenced by advisor suggestion, and 6.00% are influenced by brand reputation.</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4.23</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Influence of Advisor Suggestions on Investment Decisions</w:t>
      </w:r>
    </w:p>
    <w:tbl>
      <w:tblPr>
        <w:tblStyle w:val="TableGrid"/>
        <w:tblW w:w="7230" w:type="dxa"/>
        <w:jc w:val="center"/>
        <w:tblLook w:val="04A0" w:firstRow="1" w:lastRow="0" w:firstColumn="1" w:lastColumn="0" w:noHBand="0" w:noVBand="1"/>
      </w:tblPr>
      <w:tblGrid>
        <w:gridCol w:w="2837"/>
        <w:gridCol w:w="2722"/>
        <w:gridCol w:w="1671"/>
      </w:tblGrid>
      <w:tr w:rsidR="00870DB9" w:rsidRPr="00635B72" w:rsidTr="00E41597">
        <w:trPr>
          <w:trHeight w:val="37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Advisor Suggestions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8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Yes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37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37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Sometimes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40.00</w:t>
            </w:r>
          </w:p>
        </w:tc>
      </w:tr>
      <w:tr w:rsidR="00870DB9" w:rsidRPr="00635B72" w:rsidTr="00E41597">
        <w:trPr>
          <w:trHeight w:val="37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4.23</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Influence of Advisor Suggestions on Investment Decisions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743450" cy="23812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4.23 shows the influence of advisor suggestions on investment decisions. 42.00% of the respondents stated that advisor suggestions influence their investment decisions, 18.00% stated that advisor suggestions do not influence their investment decisions, and 40.00% stated that advisor suggestions sometimes influence their investment decisions.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4.24</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Safety While Selecting Mutual Funds</w:t>
      </w:r>
    </w:p>
    <w:tbl>
      <w:tblPr>
        <w:tblStyle w:val="TableGrid"/>
        <w:tblW w:w="7577" w:type="dxa"/>
        <w:jc w:val="center"/>
        <w:tblLook w:val="04A0" w:firstRow="1" w:lastRow="0" w:firstColumn="1" w:lastColumn="0" w:noHBand="0" w:noVBand="1"/>
      </w:tblPr>
      <w:tblGrid>
        <w:gridCol w:w="2832"/>
        <w:gridCol w:w="2940"/>
        <w:gridCol w:w="1805"/>
      </w:tblGrid>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Safety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4.24</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Safety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733925" cy="23526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4.24 shows the importance of safety while selecting mutual funds. 48.00% of the respondents consider safety as very important, 32.00% consider it as important, 12.00% are neutral, 6.00% consider it as not important, and 2.00%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4.25</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Tax Benefit While Selecting Mutual Funds</w:t>
      </w:r>
    </w:p>
    <w:tbl>
      <w:tblPr>
        <w:tblStyle w:val="TableGrid"/>
        <w:tblW w:w="7293" w:type="dxa"/>
        <w:jc w:val="center"/>
        <w:tblLook w:val="04A0" w:firstRow="1" w:lastRow="0" w:firstColumn="1" w:lastColumn="0" w:noHBand="0" w:noVBand="1"/>
      </w:tblPr>
      <w:tblGrid>
        <w:gridCol w:w="2725"/>
        <w:gridCol w:w="2830"/>
        <w:gridCol w:w="1738"/>
      </w:tblGrid>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Tax Benefit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4.25</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Tax Benefit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b/>
          <w:sz w:val="24"/>
          <w:szCs w:val="24"/>
          <w:lang w:eastAsia="en-IN"/>
        </w:rPr>
        <w:br/>
      </w:r>
      <w:r w:rsidRPr="00635B72">
        <w:rPr>
          <w:rFonts w:ascii="Times New Roman" w:hAnsi="Times New Roman" w:cs="Times New Roman"/>
          <w:sz w:val="24"/>
          <w:szCs w:val="24"/>
          <w:lang w:eastAsia="en-IN"/>
        </w:rPr>
        <w:t>Table 4.25 shows the importance of tax benefit while selecting mutual funds. 36.00% of the respondents consider tax benefit as very important, 34.00% consider it as important, 18.00% are neutral, 8.00% consider it as not important, and 4.00%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4.26</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Liquidity While Selecting Mutual Funds</w:t>
      </w:r>
    </w:p>
    <w:tbl>
      <w:tblPr>
        <w:tblStyle w:val="TableGrid"/>
        <w:tblW w:w="7727" w:type="dxa"/>
        <w:jc w:val="center"/>
        <w:tblLook w:val="04A0" w:firstRow="1" w:lastRow="0" w:firstColumn="1" w:lastColumn="0" w:noHBand="0" w:noVBand="1"/>
      </w:tblPr>
      <w:tblGrid>
        <w:gridCol w:w="2888"/>
        <w:gridCol w:w="2998"/>
        <w:gridCol w:w="1841"/>
      </w:tblGrid>
      <w:tr w:rsidR="00870DB9" w:rsidRPr="00635B72" w:rsidTr="00E41597">
        <w:trPr>
          <w:trHeight w:val="39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Liquidity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39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39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16.00</w:t>
            </w:r>
          </w:p>
        </w:tc>
      </w:tr>
      <w:tr w:rsidR="00870DB9" w:rsidRPr="00635B72" w:rsidTr="00E41597">
        <w:trPr>
          <w:trHeight w:val="39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39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4.26</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Liquidity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4.26 shows the importance of liquidity while selecting mutual funds. 34.00% of the respondents consider liquidity as very important, 38.00% consider it as important, 16.00% are neutral, 8.00% consider it as not important, and 4.00%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4.27</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Past Returns While Selecting Mutual Funds</w:t>
      </w:r>
    </w:p>
    <w:tbl>
      <w:tblPr>
        <w:tblStyle w:val="TableGrid"/>
        <w:tblW w:w="7611" w:type="dxa"/>
        <w:jc w:val="center"/>
        <w:tblLook w:val="04A0" w:firstRow="1" w:lastRow="0" w:firstColumn="1" w:lastColumn="0" w:noHBand="0" w:noVBand="1"/>
      </w:tblPr>
      <w:tblGrid>
        <w:gridCol w:w="2845"/>
        <w:gridCol w:w="2953"/>
        <w:gridCol w:w="1813"/>
      </w:tblGrid>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Past Returns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46.00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38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4.27</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Past Returns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4.27 shows the importance of past returns while selecting mutual funds. 46.00% of the respondents consider past returns as very important, 34.00% consider it as important, 12.00% are neutral, 6.00% consider it as not important, and 2.00%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4.28</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Diversification Benefit While Selecting Mutual Funds</w:t>
      </w:r>
    </w:p>
    <w:tbl>
      <w:tblPr>
        <w:tblStyle w:val="TableGrid"/>
        <w:tblW w:w="7515" w:type="dxa"/>
        <w:jc w:val="center"/>
        <w:tblLook w:val="04A0" w:firstRow="1" w:lastRow="0" w:firstColumn="1" w:lastColumn="0" w:noHBand="0" w:noVBand="1"/>
      </w:tblPr>
      <w:tblGrid>
        <w:gridCol w:w="3119"/>
        <w:gridCol w:w="2724"/>
        <w:gridCol w:w="1672"/>
      </w:tblGrid>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Diversification Benefit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8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386"/>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37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4.28</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Diversification Benefit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4.28 shows the importance of diversification benefit while selecting mutual funds. 32.00% of the respondents consider diversification benefit as very important, 36.00% consider it as important, 18.00% are neutral, 10.00% consider it as not important, and 4.00%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lastRenderedPageBreak/>
        <w:t>Table 4.29</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Professional Fund Management While Selecting Mutual Funds</w:t>
      </w:r>
    </w:p>
    <w:tbl>
      <w:tblPr>
        <w:tblStyle w:val="TableGrid"/>
        <w:tblW w:w="7253" w:type="dxa"/>
        <w:jc w:val="center"/>
        <w:tblLook w:val="04A0" w:firstRow="1" w:lastRow="0" w:firstColumn="1" w:lastColumn="0" w:noHBand="0" w:noVBand="1"/>
      </w:tblPr>
      <w:tblGrid>
        <w:gridCol w:w="3594"/>
        <w:gridCol w:w="2267"/>
        <w:gridCol w:w="1392"/>
      </w:tblGrid>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Professional Fund Management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2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40.00</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7.00</w:t>
            </w:r>
          </w:p>
        </w:tc>
      </w:tr>
      <w:tr w:rsidR="00870DB9" w:rsidRPr="00635B72" w:rsidTr="00E41597">
        <w:trPr>
          <w:trHeight w:val="42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w:t>
            </w:r>
          </w:p>
        </w:tc>
      </w:tr>
      <w:tr w:rsidR="00870DB9" w:rsidRPr="00635B72" w:rsidTr="00E41597">
        <w:trPr>
          <w:trHeight w:val="40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Chart 4.29</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Importance of Professional Fund Management While Selecting Mutual Funds</w:t>
      </w:r>
    </w:p>
    <w:p w:rsidR="00870DB9" w:rsidRPr="00635B72" w:rsidRDefault="00870DB9" w:rsidP="00870DB9">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870DB9" w:rsidRPr="00635B72" w:rsidRDefault="00870DB9" w:rsidP="00870DB9">
      <w:pPr>
        <w:pStyle w:val="NoSpacing"/>
        <w:spacing w:line="360" w:lineRule="auto"/>
        <w:jc w:val="both"/>
        <w:rPr>
          <w:rFonts w:ascii="Times New Roman" w:hAnsi="Times New Roman" w:cs="Times New Roman"/>
          <w:b/>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sz w:val="24"/>
          <w:szCs w:val="24"/>
          <w:lang w:eastAsia="en-IN"/>
        </w:rPr>
        <w:t>Interpretation:</w:t>
      </w:r>
      <w:r w:rsidRPr="00635B72">
        <w:rPr>
          <w:rFonts w:ascii="Times New Roman" w:hAnsi="Times New Roman" w:cs="Times New Roman"/>
          <w:sz w:val="24"/>
          <w:szCs w:val="24"/>
          <w:lang w:eastAsia="en-IN"/>
        </w:rPr>
        <w:br/>
        <w:t>Table 4.29 shows the importance of professional fund management while selecting mutual funds. 40.00% of the respondents consider professional fund management as very important, 36.00% consider it as important, 14.00% are neutral, 7.00% consider it as not important, and 3.00%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Regular Savings While Selecting Mutual Funds</w:t>
      </w:r>
    </w:p>
    <w:tbl>
      <w:tblPr>
        <w:tblStyle w:val="TableGrid"/>
        <w:tblW w:w="7866" w:type="dxa"/>
        <w:jc w:val="center"/>
        <w:tblLook w:val="04A0" w:firstRow="1" w:lastRow="0" w:firstColumn="1" w:lastColumn="0" w:noHBand="0" w:noVBand="1"/>
      </w:tblPr>
      <w:tblGrid>
        <w:gridCol w:w="2940"/>
        <w:gridCol w:w="3052"/>
        <w:gridCol w:w="1874"/>
      </w:tblGrid>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Regular Savings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2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35.00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37</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37.00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2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410"/>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Regular Savings While Selecting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4.30 shows the importance of regular savings while selecting mutual funds. 35.00% of the respondents consider regular savings as very important, 37.00% consider it as important, 16.00% are neutral, 8.00% consider it as not important, and 4.00%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Transparency While Selecting Mutual Funds</w:t>
      </w:r>
    </w:p>
    <w:tbl>
      <w:tblPr>
        <w:tblStyle w:val="TableGrid"/>
        <w:tblW w:w="7477" w:type="dxa"/>
        <w:jc w:val="center"/>
        <w:tblLook w:val="04A0" w:firstRow="1" w:lastRow="0" w:firstColumn="1" w:lastColumn="0" w:noHBand="0" w:noVBand="1"/>
      </w:tblPr>
      <w:tblGrid>
        <w:gridCol w:w="2795"/>
        <w:gridCol w:w="2901"/>
        <w:gridCol w:w="1781"/>
      </w:tblGrid>
      <w:tr w:rsidR="00870DB9" w:rsidRPr="00635B72" w:rsidTr="00E41597">
        <w:trPr>
          <w:trHeight w:val="4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Transparency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rPr>
          <w:trHeight w:val="4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4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16.00</w:t>
            </w:r>
          </w:p>
        </w:tc>
      </w:tr>
      <w:tr w:rsidR="00870DB9" w:rsidRPr="00635B72" w:rsidTr="00E41597">
        <w:trPr>
          <w:trHeight w:val="4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43"/>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42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ind w:firstLine="720"/>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Transparency While Selecting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4.31 shows the importance of transparency while selecting mutual funds. 34.00% of the respondents consider transparency as very important, 38.00% consider it as important, 16.00% are neutral, 8.00% consider it as not important, and 4.00%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4.32</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Importance of Charges While Selecting Mutual Funds</w:t>
      </w:r>
    </w:p>
    <w:tbl>
      <w:tblPr>
        <w:tblStyle w:val="TableGrid"/>
        <w:tblW w:w="8152" w:type="dxa"/>
        <w:jc w:val="center"/>
        <w:tblLook w:val="04A0" w:firstRow="1" w:lastRow="0" w:firstColumn="1" w:lastColumn="0" w:noHBand="0" w:noVBand="1"/>
      </w:tblPr>
      <w:tblGrid>
        <w:gridCol w:w="3047"/>
        <w:gridCol w:w="3163"/>
        <w:gridCol w:w="1942"/>
      </w:tblGrid>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Charges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6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462"/>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445"/>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4.32</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Importance of Charges While Selecting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4.32 shows the importance of charges while selecting mutual funds. 28.00% of the respondents consider charges as very important, 36.00% consider it as important, 20.00% are neutral, 10.00% consider it as not important, and 6.00%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Convenience While Selecting Mutual Funds</w:t>
      </w:r>
    </w:p>
    <w:tbl>
      <w:tblPr>
        <w:tblStyle w:val="TableGrid"/>
        <w:tblW w:w="7357" w:type="dxa"/>
        <w:jc w:val="center"/>
        <w:tblLook w:val="04A0" w:firstRow="1" w:lastRow="0" w:firstColumn="1" w:lastColumn="0" w:noHBand="0" w:noVBand="1"/>
      </w:tblPr>
      <w:tblGrid>
        <w:gridCol w:w="2749"/>
        <w:gridCol w:w="2855"/>
        <w:gridCol w:w="1753"/>
      </w:tblGrid>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Convenience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Very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9</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9.00</w:t>
            </w:r>
          </w:p>
        </w:tc>
      </w:tr>
      <w:tr w:rsidR="00870DB9" w:rsidRPr="00635B72" w:rsidTr="00E41597">
        <w:trPr>
          <w:trHeight w:val="44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Not at all Important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Importance of Convenience While Selecting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4.33 shows the importance of convenience while selecting mutual funds. 30.00% of the respondents consider convenience as very important, 38.00% consider it as important, 18.00% are neutral, 9.00% consider it as not important, and 5.00% consider it as not at all important while selecting mutual funds.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Safest Investment Option</w:t>
      </w:r>
    </w:p>
    <w:tbl>
      <w:tblPr>
        <w:tblStyle w:val="TableGrid"/>
        <w:tblW w:w="8926" w:type="dxa"/>
        <w:jc w:val="center"/>
        <w:tblLook w:val="04A0" w:firstRow="1" w:lastRow="0" w:firstColumn="1" w:lastColumn="0" w:noHBand="0" w:noVBand="1"/>
      </w:tblPr>
      <w:tblGrid>
        <w:gridCol w:w="3585"/>
        <w:gridCol w:w="2796"/>
        <w:gridCol w:w="2545"/>
      </w:tblGrid>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Safest Investment Option</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34"/>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Mutual Funds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32.00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Stock Market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Bank Deposits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52</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52.00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Others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419"/>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54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Safest Investment Option</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933950" cy="2390775"/>
            <wp:effectExtent l="0" t="0" r="0"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4.34 shows the safest investment option preferred by respondents. 32.00% of the respondents consider mutual funds as the safest investment option, 10.00% consider stock market as the safest investment option, 52.00% consider bank deposits as the safest investment option, and 6.00% consider other investment options as the safest investment option.</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4.35</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Factors Preventing Investment in Mutual Funds</w:t>
      </w:r>
    </w:p>
    <w:tbl>
      <w:tblPr>
        <w:tblStyle w:val="TableGrid"/>
        <w:tblW w:w="9067" w:type="dxa"/>
        <w:jc w:val="center"/>
        <w:tblLook w:val="04A0" w:firstRow="1" w:lastRow="0" w:firstColumn="1" w:lastColumn="0" w:noHBand="0" w:noVBand="1"/>
      </w:tblPr>
      <w:tblGrid>
        <w:gridCol w:w="4036"/>
        <w:gridCol w:w="2508"/>
        <w:gridCol w:w="2523"/>
      </w:tblGrid>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Factors Preventing Investment</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Lack of Knowledge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Fear of Risk/Market Loss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28.00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Difficulty in Selection of Schemes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18.00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Insufficient Income</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rPr>
          <w:trHeight w:val="447"/>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High Market Volatility</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8.00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Others</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431"/>
          <w:jc w:val="center"/>
        </w:trPr>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0" w:type="auto"/>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5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4.35</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Factors Preventing Investment in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4.35 shows the factors preventing respondents from investing in mutual funds. 30.00% of the respondents are prevented by lack of knowledge, 28.00% are prevented by fear of risk/market loss, 18.00% are prevented by difficulty in selection of schemes, 14.00% are prevented by insufficient income, 8.00% are prevented by high market volatility, and 2.00% are prevented by other factors.</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4.36</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Provide Better Returns Than Traditional Investments</w:t>
      </w:r>
    </w:p>
    <w:tbl>
      <w:tblPr>
        <w:tblStyle w:val="TableGrid"/>
        <w:tblW w:w="0" w:type="auto"/>
        <w:tblLook w:val="04A0" w:firstRow="1" w:lastRow="0" w:firstColumn="1" w:lastColumn="0" w:noHBand="0" w:noVBand="1"/>
      </w:tblPr>
      <w:tblGrid>
        <w:gridCol w:w="3642"/>
        <w:gridCol w:w="2342"/>
        <w:gridCol w:w="2675"/>
      </w:tblGrid>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Mutual Funds Provide Better Returns Than Traditional Investments</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34.00</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7.00</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w:t>
            </w:r>
          </w:p>
        </w:tc>
      </w:tr>
      <w:tr w:rsidR="00870DB9" w:rsidRPr="00635B72" w:rsidTr="00E41597">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409"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784"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4.36</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Provide Better Returns Than Traditional Investments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4.36 shows the level of agreement of respondents towards the statement that mutual funds provide better returns than traditional investments. 34.00% of the respondents strongly agree, 42.00% agree, 14.00% are neutral, 7.00% disagree, and 3.00%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4.37</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SIP is a Convenient Method of Investing</w:t>
      </w:r>
    </w:p>
    <w:tbl>
      <w:tblPr>
        <w:tblStyle w:val="TableGrid"/>
        <w:tblW w:w="8119" w:type="dxa"/>
        <w:jc w:val="center"/>
        <w:tblLook w:val="04A0" w:firstRow="1" w:lastRow="0" w:firstColumn="1" w:lastColumn="0" w:noHBand="0" w:noVBand="1"/>
      </w:tblPr>
      <w:tblGrid>
        <w:gridCol w:w="3397"/>
        <w:gridCol w:w="2127"/>
        <w:gridCol w:w="2595"/>
      </w:tblGrid>
      <w:tr w:rsidR="00870DB9" w:rsidRPr="00635B72" w:rsidTr="00E41597">
        <w:trPr>
          <w:trHeight w:val="407"/>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SIP is a Convenient Method of Investing</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22"/>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48.00</w:t>
            </w:r>
          </w:p>
        </w:tc>
      </w:tr>
      <w:tr w:rsidR="00870DB9" w:rsidRPr="00635B72" w:rsidTr="00E41597">
        <w:trPr>
          <w:trHeight w:val="407"/>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07"/>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rPr>
          <w:trHeight w:val="407"/>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rPr>
          <w:trHeight w:val="422"/>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407"/>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12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59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4.37</w:t>
      </w:r>
    </w:p>
    <w:p w:rsidR="00870DB9" w:rsidRPr="00635B72" w:rsidRDefault="00870DB9" w:rsidP="00870DB9">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SIP is a Convenient Method of Investing</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4.37 shows the level of agreement of respondents towards the statement that SIP is a convenient method of investing. 48.00% of the respondents strongly agree, 36.00% agree, 10.00% are neutral, 4.00% disagree, and 2.00%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4.38</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Risk Level Affects Investment Decisions</w:t>
      </w:r>
    </w:p>
    <w:tbl>
      <w:tblPr>
        <w:tblStyle w:val="TableGrid"/>
        <w:tblW w:w="8791" w:type="dxa"/>
        <w:jc w:val="center"/>
        <w:tblLook w:val="04A0" w:firstRow="1" w:lastRow="0" w:firstColumn="1" w:lastColumn="0" w:noHBand="0" w:noVBand="1"/>
      </w:tblPr>
      <w:tblGrid>
        <w:gridCol w:w="3823"/>
        <w:gridCol w:w="2551"/>
        <w:gridCol w:w="2417"/>
      </w:tblGrid>
      <w:tr w:rsidR="00870DB9" w:rsidRPr="00635B72" w:rsidTr="00E41597">
        <w:trPr>
          <w:trHeight w:val="437"/>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Risk Level Affects Investment Decisions</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53"/>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40.00</w:t>
            </w:r>
          </w:p>
        </w:tc>
      </w:tr>
      <w:tr w:rsidR="00870DB9" w:rsidRPr="00635B72" w:rsidTr="00E41597">
        <w:trPr>
          <w:trHeight w:val="437"/>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437"/>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37"/>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7.00</w:t>
            </w:r>
          </w:p>
        </w:tc>
      </w:tr>
      <w:tr w:rsidR="00870DB9" w:rsidRPr="00635B72" w:rsidTr="00E41597">
        <w:trPr>
          <w:trHeight w:val="453"/>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w:t>
            </w:r>
          </w:p>
        </w:tc>
      </w:tr>
      <w:tr w:rsidR="00870DB9" w:rsidRPr="00635B72" w:rsidTr="00E41597">
        <w:trPr>
          <w:trHeight w:val="437"/>
          <w:jc w:val="center"/>
        </w:trPr>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55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41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4.38</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Risk Level Affects Investment Decisions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4.38 shows the level of agreement of respondents towards the statement that risk level affects investment decisions. 40.00% of the respondents strongly agree, 38.00% agree, 12.00% are neutral, 7.00% disagree, and 3.00%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4.39</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are Less Risky Than Direct Equity Investment</w:t>
      </w:r>
    </w:p>
    <w:tbl>
      <w:tblPr>
        <w:tblStyle w:val="TableGrid"/>
        <w:tblW w:w="0" w:type="auto"/>
        <w:tblLook w:val="04A0" w:firstRow="1" w:lastRow="0" w:firstColumn="1" w:lastColumn="0" w:noHBand="0" w:noVBand="1"/>
      </w:tblPr>
      <w:tblGrid>
        <w:gridCol w:w="3901"/>
        <w:gridCol w:w="2475"/>
        <w:gridCol w:w="2283"/>
      </w:tblGrid>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Mutual Funds are Less Risky Than Direct Equity Investment</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26.00</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40.00</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20.00</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10.00</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w:t>
            </w:r>
          </w:p>
        </w:tc>
      </w:tr>
      <w:tr w:rsidR="00870DB9" w:rsidRPr="00635B72" w:rsidTr="00E41597">
        <w:tc>
          <w:tcPr>
            <w:tcW w:w="4106"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55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358"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4.39</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are Less Risky Than Direct Equity Investment</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4.39 shows the level of agreement of respondents towards the statement that mutual funds are less risky than direct equity investment. 26.00% of the respondents strongly agree, 40.00% agree, 20.00% are neutral, 10.00% disagree, and 4.00%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Provide Access to a Wide Range of Investment Options</w:t>
      </w:r>
    </w:p>
    <w:tbl>
      <w:tblPr>
        <w:tblStyle w:val="TableGrid"/>
        <w:tblW w:w="8789" w:type="dxa"/>
        <w:tblLook w:val="04A0" w:firstRow="1" w:lastRow="0" w:firstColumn="1" w:lastColumn="0" w:noHBand="0" w:noVBand="1"/>
      </w:tblPr>
      <w:tblGrid>
        <w:gridCol w:w="3823"/>
        <w:gridCol w:w="2693"/>
        <w:gridCol w:w="2273"/>
      </w:tblGrid>
      <w:tr w:rsidR="00870DB9" w:rsidRPr="00635B72" w:rsidTr="00E41597">
        <w:trPr>
          <w:trHeight w:val="803"/>
        </w:trPr>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Mutual Funds Provide Access to a Wide Range of Investment Options</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394"/>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trHeight w:val="394"/>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trHeight w:val="408"/>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394"/>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trHeight w:val="394"/>
        </w:trPr>
        <w:tc>
          <w:tcPr>
            <w:tcW w:w="382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trHeight w:val="394"/>
        </w:trPr>
        <w:tc>
          <w:tcPr>
            <w:tcW w:w="382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27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4.40</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Mutual Funds Provide Access to a Wide Range of Investment Options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4.40 shows the level of agreement of respondents towards the statement that mutual funds provide access to a wide range of investment options. 38.00% of the respondents strongly agree, 42.00% agree, 12.00% are neutral, 6.00% disagree, and 2.00%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04758D" w:rsidRPr="00635B72" w:rsidRDefault="0004758D"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Professional Fund Management Increases Confidence in Mutual Funds</w:t>
      </w:r>
    </w:p>
    <w:tbl>
      <w:tblPr>
        <w:tblStyle w:val="TableGrid"/>
        <w:tblW w:w="0" w:type="auto"/>
        <w:jc w:val="center"/>
        <w:tblLook w:val="04A0" w:firstRow="1" w:lastRow="0" w:firstColumn="1" w:lastColumn="0" w:noHBand="0" w:noVBand="1"/>
      </w:tblPr>
      <w:tblGrid>
        <w:gridCol w:w="3516"/>
        <w:gridCol w:w="2733"/>
        <w:gridCol w:w="2410"/>
      </w:tblGrid>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Professional Fund Management Increases Confidence in Mutual Funds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42.00</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38.00</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jc w:val="center"/>
        </w:trPr>
        <w:tc>
          <w:tcPr>
            <w:tcW w:w="368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500"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4.41</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Professional Fund Management Increases Confidence in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4.41 shows the level of agreement of respondents towards the statement that professional fund management increases confidence in mutual funds. 42.00% of the respondents strongly agree, 38.00% agree, 12.00% are neutral, 6.00% disagree, and 2.00%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Intention to Continue Investing in Mutual Funds in Future</w:t>
      </w:r>
    </w:p>
    <w:tbl>
      <w:tblPr>
        <w:tblStyle w:val="TableGrid"/>
        <w:tblW w:w="0" w:type="auto"/>
        <w:jc w:val="center"/>
        <w:tblLook w:val="04A0" w:firstRow="1" w:lastRow="0" w:firstColumn="1" w:lastColumn="0" w:noHBand="0" w:noVBand="1"/>
      </w:tblPr>
      <w:tblGrid>
        <w:gridCol w:w="2711"/>
        <w:gridCol w:w="3399"/>
        <w:gridCol w:w="2549"/>
      </w:tblGrid>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Intention to Continue Investing in Mutual Funds in Future</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44</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44.00</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6.00</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2.00</w:t>
            </w:r>
          </w:p>
        </w:tc>
      </w:tr>
      <w:tr w:rsidR="00870DB9" w:rsidRPr="00635B72" w:rsidTr="00E41597">
        <w:trPr>
          <w:jc w:val="center"/>
        </w:trPr>
        <w:tc>
          <w:tcPr>
            <w:tcW w:w="2830"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3544"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642"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4.42</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Intention to Continue Investing in Mutual Funds in Future</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4.42 shows the level of agreement of respondents towards the statement that they intend to continue investing in mutual funds in future. 44.00% of the respondents strongly agree, 36.00% agree, 12.00% are neutral, 6.00% disagree, and 2.00%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Encouraging Others to Invest in Mutual Funds</w:t>
      </w:r>
    </w:p>
    <w:tbl>
      <w:tblPr>
        <w:tblStyle w:val="TableGrid"/>
        <w:tblW w:w="8667" w:type="dxa"/>
        <w:jc w:val="center"/>
        <w:tblLook w:val="04A0" w:firstRow="1" w:lastRow="0" w:firstColumn="1" w:lastColumn="0" w:noHBand="0" w:noVBand="1"/>
      </w:tblPr>
      <w:tblGrid>
        <w:gridCol w:w="3397"/>
        <w:gridCol w:w="2835"/>
        <w:gridCol w:w="2435"/>
      </w:tblGrid>
      <w:tr w:rsidR="00870DB9" w:rsidRPr="00635B72" w:rsidTr="00E41597">
        <w:trPr>
          <w:trHeight w:val="4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Encouraging Others to Invest in Mutual Funds</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41"/>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36.00</w:t>
            </w:r>
          </w:p>
        </w:tc>
      </w:tr>
      <w:tr w:rsidR="00870DB9" w:rsidRPr="00635B72" w:rsidTr="00E41597">
        <w:trPr>
          <w:trHeight w:val="4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40.00</w:t>
            </w:r>
          </w:p>
        </w:tc>
      </w:tr>
      <w:tr w:rsidR="00870DB9" w:rsidRPr="00635B72" w:rsidTr="00E41597">
        <w:trPr>
          <w:trHeight w:val="4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Neutral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14.00</w:t>
            </w:r>
          </w:p>
        </w:tc>
      </w:tr>
      <w:tr w:rsidR="00870DB9" w:rsidRPr="00635B72" w:rsidTr="00E41597">
        <w:trPr>
          <w:trHeight w:val="4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Disagree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7.00</w:t>
            </w:r>
          </w:p>
        </w:tc>
      </w:tr>
      <w:tr w:rsidR="00870DB9" w:rsidRPr="00635B72" w:rsidTr="00E41597">
        <w:trPr>
          <w:trHeight w:val="441"/>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Strongly Disagree</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3.00</w:t>
            </w:r>
          </w:p>
        </w:tc>
      </w:tr>
      <w:tr w:rsidR="00870DB9" w:rsidRPr="00635B72" w:rsidTr="00E41597">
        <w:trPr>
          <w:trHeight w:val="425"/>
          <w:jc w:val="center"/>
        </w:trPr>
        <w:tc>
          <w:tcPr>
            <w:tcW w:w="3397"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8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435"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4.43</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Encouraging Others to Invest in Mutual Funds</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4.43 shows the level of agreement of respondents towards the statement that they will encourage their friends, family members or colleagues to invest in mutual funds. 36.00% of the respondents strongly agree, 40.00% agree, 14.00% are neutral, 7.00% disagree, and 3.00% strongly disagree with the statement.</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rPr>
          <w:rFonts w:ascii="Times New Roman" w:hAnsi="Times New Roman" w:cs="Times New Roman"/>
          <w:sz w:val="24"/>
          <w:szCs w:val="24"/>
          <w:lang w:eastAsia="en-IN"/>
        </w:rPr>
      </w:pP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lastRenderedPageBreak/>
        <w:t>Table 4.44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Preference of Mutual Funds Over Other Investment Avenues in Future</w:t>
      </w:r>
    </w:p>
    <w:tbl>
      <w:tblPr>
        <w:tblStyle w:val="TableGrid"/>
        <w:tblW w:w="8763" w:type="dxa"/>
        <w:jc w:val="center"/>
        <w:tblLook w:val="04A0" w:firstRow="1" w:lastRow="0" w:firstColumn="1" w:lastColumn="0" w:noHBand="0" w:noVBand="1"/>
      </w:tblPr>
      <w:tblGrid>
        <w:gridCol w:w="3539"/>
        <w:gridCol w:w="2693"/>
        <w:gridCol w:w="2531"/>
      </w:tblGrid>
      <w:tr w:rsidR="00870DB9" w:rsidRPr="00635B72" w:rsidTr="00E41597">
        <w:trPr>
          <w:trHeight w:val="476"/>
          <w:jc w:val="center"/>
        </w:trPr>
        <w:tc>
          <w:tcPr>
            <w:tcW w:w="3539"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Preference of Mutual Funds in Future</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No. of Respondents</w:t>
            </w:r>
          </w:p>
        </w:tc>
        <w:tc>
          <w:tcPr>
            <w:tcW w:w="253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Percentage</w:t>
            </w:r>
          </w:p>
        </w:tc>
      </w:tr>
      <w:tr w:rsidR="00870DB9" w:rsidRPr="00635B72" w:rsidTr="00E41597">
        <w:trPr>
          <w:trHeight w:val="494"/>
          <w:jc w:val="center"/>
        </w:trPr>
        <w:tc>
          <w:tcPr>
            <w:tcW w:w="353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Yes</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64</w:t>
            </w:r>
          </w:p>
        </w:tc>
        <w:tc>
          <w:tcPr>
            <w:tcW w:w="253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64.00</w:t>
            </w:r>
          </w:p>
        </w:tc>
      </w:tr>
      <w:tr w:rsidR="00870DB9" w:rsidRPr="00635B72" w:rsidTr="00E41597">
        <w:trPr>
          <w:trHeight w:val="476"/>
          <w:jc w:val="center"/>
        </w:trPr>
        <w:tc>
          <w:tcPr>
            <w:tcW w:w="353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No</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w:t>
            </w:r>
          </w:p>
        </w:tc>
        <w:tc>
          <w:tcPr>
            <w:tcW w:w="253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12.00</w:t>
            </w:r>
          </w:p>
        </w:tc>
      </w:tr>
      <w:tr w:rsidR="00870DB9" w:rsidRPr="00635B72" w:rsidTr="00E41597">
        <w:trPr>
          <w:trHeight w:val="476"/>
          <w:jc w:val="center"/>
        </w:trPr>
        <w:tc>
          <w:tcPr>
            <w:tcW w:w="3539"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Can’t Say</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w:t>
            </w:r>
          </w:p>
        </w:tc>
        <w:tc>
          <w:tcPr>
            <w:tcW w:w="2531" w:type="dxa"/>
            <w:hideMark/>
          </w:tcPr>
          <w:p w:rsidR="00870DB9" w:rsidRPr="00635B72" w:rsidRDefault="00870DB9" w:rsidP="00E41597">
            <w:pPr>
              <w:pStyle w:val="NoSpacing"/>
              <w:spacing w:line="360" w:lineRule="auto"/>
              <w:jc w:val="center"/>
              <w:rPr>
                <w:rFonts w:ascii="Times New Roman" w:hAnsi="Times New Roman" w:cs="Times New Roman"/>
                <w:sz w:val="24"/>
                <w:szCs w:val="24"/>
                <w:lang w:eastAsia="en-IN"/>
              </w:rPr>
            </w:pPr>
            <w:r w:rsidRPr="00635B72">
              <w:rPr>
                <w:rFonts w:ascii="Times New Roman" w:hAnsi="Times New Roman" w:cs="Times New Roman"/>
                <w:sz w:val="24"/>
                <w:szCs w:val="24"/>
                <w:lang w:eastAsia="en-IN"/>
              </w:rPr>
              <w:t>24.00</w:t>
            </w:r>
          </w:p>
        </w:tc>
      </w:tr>
      <w:tr w:rsidR="00870DB9" w:rsidRPr="00635B72" w:rsidTr="00E41597">
        <w:trPr>
          <w:trHeight w:val="476"/>
          <w:jc w:val="center"/>
        </w:trPr>
        <w:tc>
          <w:tcPr>
            <w:tcW w:w="3539"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Total</w:t>
            </w:r>
          </w:p>
        </w:tc>
        <w:tc>
          <w:tcPr>
            <w:tcW w:w="2693"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w:t>
            </w:r>
          </w:p>
        </w:tc>
        <w:tc>
          <w:tcPr>
            <w:tcW w:w="2531" w:type="dxa"/>
            <w:hideMark/>
          </w:tcPr>
          <w:p w:rsidR="00870DB9" w:rsidRPr="00635B72" w:rsidRDefault="00870DB9" w:rsidP="00E41597">
            <w:pPr>
              <w:pStyle w:val="NoSpacing"/>
              <w:spacing w:line="360" w:lineRule="auto"/>
              <w:jc w:val="center"/>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100.00</w:t>
            </w:r>
          </w:p>
        </w:tc>
      </w:tr>
    </w:tbl>
    <w:p w:rsidR="00870DB9" w:rsidRPr="00635B72" w:rsidRDefault="00870DB9" w:rsidP="00870DB9">
      <w:pPr>
        <w:pStyle w:val="NoSpacing"/>
        <w:spacing w:line="360" w:lineRule="auto"/>
        <w:jc w:val="both"/>
        <w:rPr>
          <w:rFonts w:ascii="Times New Roman" w:hAnsi="Times New Roman" w:cs="Times New Roman"/>
          <w:b/>
          <w:sz w:val="24"/>
          <w:szCs w:val="24"/>
          <w:lang w:eastAsia="en-IN"/>
        </w:rPr>
      </w:pPr>
      <w:r w:rsidRPr="00635B72">
        <w:rPr>
          <w:rFonts w:ascii="Times New Roman" w:hAnsi="Times New Roman" w:cs="Times New Roman"/>
          <w:b/>
          <w:sz w:val="24"/>
          <w:szCs w:val="24"/>
          <w:lang w:eastAsia="en-IN"/>
        </w:rPr>
        <w:t>Source: Primary data</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Chart 4.44</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b/>
          <w:bCs/>
          <w:sz w:val="24"/>
          <w:szCs w:val="24"/>
          <w:lang w:eastAsia="en-IN"/>
        </w:rPr>
        <w:t>Preference of Mutual Funds Over Other Investment Avenues in Future</w:t>
      </w:r>
    </w:p>
    <w:p w:rsidR="00870DB9" w:rsidRPr="00635B72" w:rsidRDefault="00870DB9" w:rsidP="00870DB9">
      <w:pPr>
        <w:pStyle w:val="NoSpacing"/>
        <w:spacing w:line="360" w:lineRule="auto"/>
        <w:jc w:val="center"/>
        <w:rPr>
          <w:rFonts w:ascii="Times New Roman" w:hAnsi="Times New Roman" w:cs="Times New Roman"/>
          <w:b/>
          <w:bCs/>
          <w:sz w:val="24"/>
          <w:szCs w:val="24"/>
          <w:lang w:eastAsia="en-IN"/>
        </w:rPr>
      </w:pPr>
      <w:r w:rsidRPr="00635B72">
        <w:rPr>
          <w:rFonts w:ascii="Times New Roman" w:hAnsi="Times New Roman" w:cs="Times New Roman"/>
          <w:noProof/>
          <w:lang w:val="en-IN" w:eastAsia="en-IN"/>
        </w:rPr>
        <w:drawing>
          <wp:inline distT="0" distB="0" distL="0" distR="0">
            <wp:extent cx="4572000" cy="27432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r w:rsidRPr="00635B72">
        <w:rPr>
          <w:rFonts w:ascii="Times New Roman" w:hAnsi="Times New Roman" w:cs="Times New Roman"/>
          <w:b/>
          <w:bCs/>
          <w:sz w:val="24"/>
          <w:szCs w:val="24"/>
          <w:lang w:eastAsia="en-IN"/>
        </w:rPr>
        <w:t>Interpretation:</w:t>
      </w:r>
      <w:r w:rsidRPr="00635B72">
        <w:rPr>
          <w:rFonts w:ascii="Times New Roman" w:hAnsi="Times New Roman" w:cs="Times New Roman"/>
          <w:sz w:val="24"/>
          <w:szCs w:val="24"/>
          <w:lang w:eastAsia="en-IN"/>
        </w:rPr>
        <w:br/>
        <w:t>Table 4.44 shows the preference of mutual funds over other investment avenues in future. 64.00% of the respondents stated that they will prefer mutual funds over other investment avenues in future, 12.00% stated that they will not prefer mutual funds over other investment avenues, and 24.00% stated that they can’t say.</w:t>
      </w: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870DB9" w:rsidRPr="00635B72" w:rsidRDefault="00870DB9" w:rsidP="00870DB9">
      <w:pPr>
        <w:pStyle w:val="NoSpacing"/>
        <w:spacing w:line="360" w:lineRule="auto"/>
        <w:jc w:val="both"/>
        <w:rPr>
          <w:rFonts w:ascii="Times New Roman" w:hAnsi="Times New Roman" w:cs="Times New Roman"/>
          <w:sz w:val="24"/>
          <w:szCs w:val="24"/>
          <w:lang w:eastAsia="en-IN"/>
        </w:rPr>
      </w:pP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TESTING OF HYPOTHESIS</w:t>
      </w: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CHI SQUARE TEST</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Hypothesis I</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H0: </w:t>
      </w:r>
      <w:r w:rsidRPr="00635B72">
        <w:rPr>
          <w:rFonts w:ascii="Times New Roman" w:eastAsia="Times New Roman" w:hAnsi="Times New Roman" w:cs="Times New Roman"/>
          <w:sz w:val="24"/>
          <w:szCs w:val="24"/>
        </w:rPr>
        <w:t>There is no significant relationship between age and investment behaviour</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H1: </w:t>
      </w:r>
      <w:r w:rsidRPr="00635B72">
        <w:rPr>
          <w:rFonts w:ascii="Times New Roman" w:eastAsia="Times New Roman" w:hAnsi="Times New Roman" w:cs="Times New Roman"/>
          <w:sz w:val="24"/>
          <w:szCs w:val="24"/>
        </w:rPr>
        <w:t>There is a significant relationship between age and investment behaviour</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OBSERVED TABLE (O)</w:t>
      </w: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TABLE NO: </w:t>
      </w:r>
      <w:r w:rsidR="00DF5749" w:rsidRPr="00635B72">
        <w:rPr>
          <w:rFonts w:ascii="Times New Roman" w:eastAsia="Times New Roman" w:hAnsi="Times New Roman" w:cs="Times New Roman"/>
          <w:b/>
          <w:bCs/>
          <w:sz w:val="24"/>
          <w:szCs w:val="24"/>
        </w:rPr>
        <w:t>4.45</w:t>
      </w:r>
      <w:r w:rsidR="00CE43A5" w:rsidRPr="00635B72">
        <w:rPr>
          <w:rFonts w:ascii="Times New Roman" w:eastAsia="Times New Roman" w:hAnsi="Times New Roman" w:cs="Times New Roman"/>
          <w:b/>
          <w:bCs/>
          <w:sz w:val="24"/>
          <w:szCs w:val="24"/>
        </w:rPr>
        <w:t xml:space="preserve"> </w:t>
      </w:r>
      <w:r w:rsidRPr="00635B72">
        <w:rPr>
          <w:rFonts w:ascii="Times New Roman" w:eastAsia="Times New Roman" w:hAnsi="Times New Roman" w:cs="Times New Roman"/>
          <w:b/>
          <w:bCs/>
          <w:sz w:val="24"/>
          <w:szCs w:val="24"/>
        </w:rPr>
        <w:t>OBSERVED TABLE 1</w:t>
      </w:r>
    </w:p>
    <w:tbl>
      <w:tblPr>
        <w:tblStyle w:val="TableGrid"/>
        <w:tblW w:w="0" w:type="auto"/>
        <w:tblLook w:val="06A0" w:firstRow="1" w:lastRow="0" w:firstColumn="1" w:lastColumn="0" w:noHBand="1" w:noVBand="1"/>
      </w:tblPr>
      <w:tblGrid>
        <w:gridCol w:w="1680"/>
        <w:gridCol w:w="1393"/>
        <w:gridCol w:w="1408"/>
        <w:gridCol w:w="1408"/>
        <w:gridCol w:w="1383"/>
        <w:gridCol w:w="1383"/>
      </w:tblGrid>
      <w:tr w:rsidR="00970E2A" w:rsidRPr="00635B72" w:rsidTr="00635B72">
        <w:trPr>
          <w:trHeight w:val="780"/>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AGE</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LESS THAN 1 YEAR</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 YEARS</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3-5 YEARS</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5 YEARS</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r>
      <w:tr w:rsidR="00970E2A" w:rsidRPr="00635B72" w:rsidTr="00635B72">
        <w:trPr>
          <w:trHeight w:val="375"/>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UPTO 30 YEARS</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30</w:t>
            </w:r>
          </w:p>
        </w:tc>
      </w:tr>
      <w:tr w:rsidR="00970E2A" w:rsidRPr="00635B72" w:rsidTr="00635B72">
        <w:trPr>
          <w:trHeight w:val="420"/>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31-40 YEARS</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w:t>
            </w:r>
          </w:p>
        </w:tc>
      </w:tr>
      <w:tr w:rsidR="00970E2A" w:rsidRPr="00635B72" w:rsidTr="00635B72">
        <w:trPr>
          <w:trHeight w:val="405"/>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41-50 YEARS</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20</w:t>
            </w:r>
          </w:p>
        </w:tc>
      </w:tr>
      <w:tr w:rsidR="00970E2A" w:rsidRPr="00635B72" w:rsidTr="00635B72">
        <w:trPr>
          <w:trHeight w:val="480"/>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51-60 YEARS</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15</w:t>
            </w:r>
          </w:p>
        </w:tc>
      </w:tr>
      <w:tr w:rsidR="00970E2A" w:rsidRPr="00635B72" w:rsidTr="00635B72">
        <w:trPr>
          <w:trHeight w:val="480"/>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60 YEARS</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r>
      <w:tr w:rsidR="00970E2A" w:rsidRPr="00635B72" w:rsidTr="00635B72">
        <w:trPr>
          <w:trHeight w:val="450"/>
        </w:trPr>
        <w:tc>
          <w:tcPr>
            <w:tcW w:w="1680"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c>
          <w:tcPr>
            <w:tcW w:w="139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w:t>
            </w:r>
          </w:p>
        </w:tc>
        <w:tc>
          <w:tcPr>
            <w:tcW w:w="1408"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34</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26</w:t>
            </w:r>
          </w:p>
        </w:tc>
        <w:tc>
          <w:tcPr>
            <w:tcW w:w="1383" w:type="dxa"/>
          </w:tcPr>
          <w:p w:rsidR="00970E2A" w:rsidRPr="00635B72" w:rsidRDefault="00970E2A" w:rsidP="00320D1F">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CE43A5" w:rsidRPr="00635B72" w:rsidRDefault="00CE43A5" w:rsidP="00970E2A">
      <w:pPr>
        <w:spacing w:line="360" w:lineRule="auto"/>
        <w:rPr>
          <w:rFonts w:ascii="Times New Roman" w:eastAsia="Times New Roman" w:hAnsi="Times New Roman" w:cs="Times New Roman"/>
          <w:b/>
          <w:bCs/>
          <w:sz w:val="24"/>
          <w:szCs w:val="24"/>
        </w:rPr>
      </w:pPr>
    </w:p>
    <w:p w:rsidR="00CE43A5" w:rsidRPr="00635B72" w:rsidRDefault="00CE43A5" w:rsidP="00970E2A">
      <w:pPr>
        <w:spacing w:line="360" w:lineRule="auto"/>
        <w:rPr>
          <w:rFonts w:ascii="Times New Roman" w:eastAsia="Times New Roman" w:hAnsi="Times New Roman" w:cs="Times New Roman"/>
          <w:b/>
          <w:bCs/>
          <w:sz w:val="24"/>
          <w:szCs w:val="24"/>
        </w:rPr>
      </w:pPr>
    </w:p>
    <w:p w:rsidR="00CE43A5" w:rsidRPr="00635B72" w:rsidRDefault="00CE43A5" w:rsidP="00970E2A">
      <w:pPr>
        <w:spacing w:line="360" w:lineRule="auto"/>
        <w:rPr>
          <w:rFonts w:ascii="Times New Roman" w:eastAsia="Times New Roman" w:hAnsi="Times New Roman" w:cs="Times New Roman"/>
          <w:b/>
          <w:bCs/>
          <w:sz w:val="24"/>
          <w:szCs w:val="24"/>
        </w:rPr>
      </w:pPr>
    </w:p>
    <w:p w:rsidR="00CE43A5" w:rsidRPr="00635B72" w:rsidRDefault="00CE43A5" w:rsidP="00970E2A">
      <w:pPr>
        <w:spacing w:line="360" w:lineRule="auto"/>
        <w:rPr>
          <w:rFonts w:ascii="Times New Roman" w:eastAsia="Times New Roman" w:hAnsi="Times New Roman" w:cs="Times New Roman"/>
          <w:b/>
          <w:bCs/>
          <w:sz w:val="24"/>
          <w:szCs w:val="24"/>
        </w:rPr>
      </w:pPr>
    </w:p>
    <w:p w:rsidR="00CE43A5" w:rsidRPr="00635B72" w:rsidRDefault="00CE43A5" w:rsidP="00970E2A">
      <w:pPr>
        <w:spacing w:line="360" w:lineRule="auto"/>
        <w:rPr>
          <w:rFonts w:ascii="Times New Roman" w:eastAsia="Times New Roman" w:hAnsi="Times New Roman" w:cs="Times New Roman"/>
          <w:b/>
          <w:bCs/>
          <w:sz w:val="24"/>
          <w:szCs w:val="24"/>
        </w:rPr>
      </w:pP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EXPECTED TABLE (E)</w:t>
      </w: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TABLE NO:</w:t>
      </w:r>
      <w:r w:rsidR="00CE43A5" w:rsidRPr="00635B72">
        <w:rPr>
          <w:rFonts w:ascii="Times New Roman" w:eastAsia="Times New Roman" w:hAnsi="Times New Roman" w:cs="Times New Roman"/>
          <w:b/>
          <w:bCs/>
          <w:sz w:val="24"/>
          <w:szCs w:val="24"/>
        </w:rPr>
        <w:t xml:space="preserve"> 4.46 </w:t>
      </w:r>
      <w:r w:rsidRPr="00635B72">
        <w:rPr>
          <w:rFonts w:ascii="Times New Roman" w:eastAsia="Times New Roman" w:hAnsi="Times New Roman" w:cs="Times New Roman"/>
          <w:b/>
          <w:bCs/>
          <w:sz w:val="24"/>
          <w:szCs w:val="24"/>
        </w:rPr>
        <w:t>EXPECTED TABLE 1</w:t>
      </w:r>
    </w:p>
    <w:tbl>
      <w:tblPr>
        <w:tblStyle w:val="TableGrid"/>
        <w:tblW w:w="8652" w:type="dxa"/>
        <w:tblLook w:val="06A0" w:firstRow="1" w:lastRow="0" w:firstColumn="1" w:lastColumn="0" w:noHBand="1" w:noVBand="1"/>
      </w:tblPr>
      <w:tblGrid>
        <w:gridCol w:w="1635"/>
        <w:gridCol w:w="1764"/>
        <w:gridCol w:w="1618"/>
        <w:gridCol w:w="1766"/>
        <w:gridCol w:w="1869"/>
      </w:tblGrid>
      <w:tr w:rsidR="00970E2A" w:rsidRPr="00635B72" w:rsidTr="00635B72">
        <w:trPr>
          <w:trHeight w:val="635"/>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AGE</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LESS THAN 1 YEAR</w:t>
            </w:r>
          </w:p>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 YEARS</w:t>
            </w:r>
          </w:p>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3-5 YEARS</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5 YEARS</w:t>
            </w:r>
          </w:p>
        </w:tc>
      </w:tr>
      <w:tr w:rsidR="00970E2A" w:rsidRPr="00635B72" w:rsidTr="00635B72">
        <w:trPr>
          <w:trHeight w:val="585"/>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UPTO 30 YEARS</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3.6</w:t>
            </w: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8.4</w:t>
            </w: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10.2</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7.8</w:t>
            </w:r>
          </w:p>
        </w:tc>
      </w:tr>
      <w:tr w:rsidR="00970E2A" w:rsidRPr="00635B72" w:rsidTr="00635B72">
        <w:trPr>
          <w:trHeight w:val="600"/>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31-40 YEARS</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8.5</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6.5</w:t>
            </w:r>
          </w:p>
        </w:tc>
      </w:tr>
      <w:tr w:rsidR="00970E2A" w:rsidRPr="00635B72" w:rsidTr="00635B72">
        <w:trPr>
          <w:trHeight w:val="510"/>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41-50 YEARS</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5.6</w:t>
            </w: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6.8</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5.2</w:t>
            </w:r>
          </w:p>
        </w:tc>
      </w:tr>
      <w:tr w:rsidR="00970E2A" w:rsidRPr="00635B72" w:rsidTr="00635B72">
        <w:trPr>
          <w:trHeight w:val="585"/>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51-60 YEARS</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w:t>
            </w: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4.2</w:t>
            </w: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5.1</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3.9</w:t>
            </w:r>
          </w:p>
        </w:tc>
      </w:tr>
      <w:tr w:rsidR="00970E2A" w:rsidRPr="00635B72" w:rsidTr="00635B72">
        <w:trPr>
          <w:trHeight w:val="630"/>
        </w:trPr>
        <w:tc>
          <w:tcPr>
            <w:tcW w:w="163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60 YEARS</w:t>
            </w:r>
          </w:p>
        </w:tc>
        <w:tc>
          <w:tcPr>
            <w:tcW w:w="1764"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618"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w:t>
            </w:r>
          </w:p>
        </w:tc>
        <w:tc>
          <w:tcPr>
            <w:tcW w:w="1766"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3.4</w:t>
            </w:r>
          </w:p>
        </w:tc>
        <w:tc>
          <w:tcPr>
            <w:tcW w:w="1869"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2.6</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CHI-SQUARE CALCULATION</w:t>
      </w:r>
    </w:p>
    <w:p w:rsidR="00970E2A" w:rsidRPr="00635B72" w:rsidRDefault="00970E2A" w:rsidP="00CE43A5">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TABLE NO:</w:t>
      </w:r>
      <w:r w:rsidR="00CE43A5" w:rsidRPr="00635B72">
        <w:rPr>
          <w:rFonts w:ascii="Times New Roman" w:eastAsia="Times New Roman" w:hAnsi="Times New Roman" w:cs="Times New Roman"/>
          <w:b/>
          <w:bCs/>
          <w:sz w:val="24"/>
          <w:szCs w:val="24"/>
        </w:rPr>
        <w:t xml:space="preserve"> 4.47 </w:t>
      </w:r>
      <w:r w:rsidRPr="00635B72">
        <w:rPr>
          <w:rFonts w:ascii="Times New Roman" w:eastAsia="Times New Roman" w:hAnsi="Times New Roman" w:cs="Times New Roman"/>
          <w:b/>
          <w:bCs/>
          <w:sz w:val="24"/>
          <w:szCs w:val="24"/>
        </w:rPr>
        <w:t>CHI-SQUARE TABLE 1</w:t>
      </w:r>
    </w:p>
    <w:tbl>
      <w:tblPr>
        <w:tblStyle w:val="TableGrid"/>
        <w:tblW w:w="8653" w:type="dxa"/>
        <w:tblLook w:val="06A0" w:firstRow="1" w:lastRow="0" w:firstColumn="1" w:lastColumn="0" w:noHBand="1" w:noVBand="1"/>
      </w:tblPr>
      <w:tblGrid>
        <w:gridCol w:w="2260"/>
        <w:gridCol w:w="1710"/>
        <w:gridCol w:w="1425"/>
        <w:gridCol w:w="1541"/>
        <w:gridCol w:w="1717"/>
      </w:tblGrid>
      <w:tr w:rsidR="00970E2A" w:rsidRPr="00635B72" w:rsidTr="00635B72">
        <w:trPr>
          <w:trHeight w:val="78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OBSERVED VALUE</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EXPECTED VALUE</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(O-E)</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w:t>
            </w:r>
          </w:p>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2/E</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3.6</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1.96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0.544</w:t>
            </w:r>
          </w:p>
        </w:tc>
      </w:tr>
      <w:tr w:rsidR="00970E2A" w:rsidRPr="00635B72" w:rsidTr="00635B72">
        <w:trPr>
          <w:trHeight w:val="60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8.4</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1.6</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0.305</w:t>
            </w:r>
          </w:p>
        </w:tc>
      </w:tr>
      <w:tr w:rsidR="00970E2A" w:rsidRPr="00635B72" w:rsidTr="00635B72">
        <w:trPr>
          <w:trHeight w:val="60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10.2</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0.004</w:t>
            </w:r>
          </w:p>
        </w:tc>
      </w:tr>
      <w:tr w:rsidR="00970E2A" w:rsidRPr="00635B72" w:rsidTr="00635B72">
        <w:trPr>
          <w:trHeight w:val="585"/>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7.8</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7.84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1.005</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0.143</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lastRenderedPageBreak/>
              <w:t>8</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8.5</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-0.5</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0.25</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0.029</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6.5</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-0.5</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0.25</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0.038</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0.067</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5.6</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-0.6</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0.064</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6.8</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0.006</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5.2</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0.64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0.123</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0.64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0.356</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4.2</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0.343</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5.1</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0.9</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0.81</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0.159</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3.9</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1.10</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1.21</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0.310</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0.033</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0.64</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0.229</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3.4</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0.047</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2.6</w:t>
            </w: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w:t>
            </w: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1.96</w:t>
            </w: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0.754</w:t>
            </w:r>
          </w:p>
        </w:tc>
      </w:tr>
      <w:tr w:rsidR="00970E2A" w:rsidRPr="00635B72" w:rsidTr="00635B72">
        <w:trPr>
          <w:trHeight w:val="630"/>
        </w:trPr>
        <w:tc>
          <w:tcPr>
            <w:tcW w:w="2260"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c>
          <w:tcPr>
            <w:tcW w:w="1710" w:type="dxa"/>
          </w:tcPr>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425" w:type="dxa"/>
          </w:tcPr>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541" w:type="dxa"/>
          </w:tcPr>
          <w:p w:rsidR="00970E2A" w:rsidRPr="00635B72" w:rsidRDefault="00970E2A" w:rsidP="00CE43A5">
            <w:pPr>
              <w:spacing w:line="360" w:lineRule="auto"/>
              <w:jc w:val="center"/>
              <w:rPr>
                <w:rFonts w:ascii="Times New Roman" w:eastAsia="Times New Roman" w:hAnsi="Times New Roman" w:cs="Times New Roman"/>
                <w:sz w:val="24"/>
                <w:szCs w:val="24"/>
              </w:rPr>
            </w:pPr>
          </w:p>
        </w:tc>
        <w:tc>
          <w:tcPr>
            <w:tcW w:w="1717" w:type="dxa"/>
          </w:tcPr>
          <w:p w:rsidR="00970E2A" w:rsidRPr="00635B72" w:rsidRDefault="00970E2A" w:rsidP="00CE43A5">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4.559</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X</w:t>
      </w:r>
      <w:r w:rsidRPr="00635B72">
        <w:rPr>
          <w:rFonts w:ascii="Times New Roman" w:eastAsia="Times New Roman" w:hAnsi="Times New Roman" w:cs="Times New Roman"/>
          <w:sz w:val="24"/>
          <w:szCs w:val="24"/>
          <w:vertAlign w:val="superscript"/>
        </w:rPr>
        <w:t>2</w:t>
      </w:r>
      <w:r w:rsidRPr="00635B72">
        <w:rPr>
          <w:rFonts w:ascii="Times New Roman" w:eastAsia="Times New Roman" w:hAnsi="Times New Roman" w:cs="Times New Roman"/>
          <w:sz w:val="24"/>
          <w:szCs w:val="24"/>
        </w:rPr>
        <w:t xml:space="preserve"> = 4.559</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Degree of freedom = (5-1) (4-1) = 12</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Level of Significance = 0.05</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Table Value of x</w:t>
      </w:r>
      <w:r w:rsidRPr="00635B72">
        <w:rPr>
          <w:rFonts w:ascii="Times New Roman" w:eastAsia="Times New Roman" w:hAnsi="Times New Roman" w:cs="Times New Roman"/>
          <w:sz w:val="24"/>
          <w:szCs w:val="24"/>
          <w:vertAlign w:val="superscript"/>
        </w:rPr>
        <w:t xml:space="preserve">2 </w:t>
      </w:r>
      <w:r w:rsidRPr="00635B72">
        <w:rPr>
          <w:rFonts w:ascii="Times New Roman" w:eastAsia="Times New Roman" w:hAnsi="Times New Roman" w:cs="Times New Roman"/>
          <w:sz w:val="24"/>
          <w:szCs w:val="24"/>
        </w:rPr>
        <w:t>: 21.026</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Since the calculated value is (4.559) &lt; table value (21.026) , we fail to reject the null hypothesis.</w:t>
      </w:r>
    </w:p>
    <w:p w:rsidR="00CE43A5" w:rsidRPr="00635B72" w:rsidRDefault="00970E2A" w:rsidP="00CE43A5">
      <w:pPr>
        <w:spacing w:line="360" w:lineRule="auto"/>
        <w:jc w:val="both"/>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 xml:space="preserve">Interpretation: </w:t>
      </w:r>
    </w:p>
    <w:p w:rsidR="00970E2A" w:rsidRPr="00635B72" w:rsidRDefault="00970E2A" w:rsidP="00CE43A5">
      <w:pPr>
        <w:spacing w:line="360" w:lineRule="auto"/>
        <w:jc w:val="both"/>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There is no significant relationship between age and investment behaviour.</w:t>
      </w:r>
    </w:p>
    <w:p w:rsidR="00970E2A" w:rsidRPr="00635B72" w:rsidRDefault="00970E2A" w:rsidP="00CE43A5">
      <w:pPr>
        <w:spacing w:line="360" w:lineRule="auto"/>
        <w:jc w:val="both"/>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Hypothesis II</w:t>
      </w:r>
    </w:p>
    <w:p w:rsidR="00970E2A" w:rsidRPr="00635B72" w:rsidRDefault="00970E2A" w:rsidP="00CE43A5">
      <w:pPr>
        <w:spacing w:line="360" w:lineRule="auto"/>
        <w:jc w:val="both"/>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H0: </w:t>
      </w:r>
      <w:r w:rsidRPr="00635B72">
        <w:rPr>
          <w:rFonts w:ascii="Times New Roman" w:eastAsia="Times New Roman" w:hAnsi="Times New Roman" w:cs="Times New Roman"/>
          <w:sz w:val="24"/>
          <w:szCs w:val="24"/>
        </w:rPr>
        <w:t>There is no significant relationship between income level and amount invested in mutual funds</w:t>
      </w:r>
    </w:p>
    <w:p w:rsidR="00970E2A" w:rsidRPr="00635B72" w:rsidRDefault="00970E2A" w:rsidP="00CE43A5">
      <w:pPr>
        <w:spacing w:line="360" w:lineRule="auto"/>
        <w:jc w:val="both"/>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H1:</w:t>
      </w:r>
      <w:r w:rsidRPr="00635B72">
        <w:rPr>
          <w:rFonts w:ascii="Times New Roman" w:eastAsia="Times New Roman" w:hAnsi="Times New Roman" w:cs="Times New Roman"/>
          <w:sz w:val="24"/>
          <w:szCs w:val="24"/>
        </w:rPr>
        <w:t xml:space="preserve"> There is a significant relationship between income level and amount invested in mutual funds</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OBSERVED TABLE (O) </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TABLE NO: </w:t>
      </w:r>
      <w:r w:rsidR="00417EF6" w:rsidRPr="00635B72">
        <w:rPr>
          <w:rFonts w:ascii="Times New Roman" w:eastAsia="Times New Roman" w:hAnsi="Times New Roman" w:cs="Times New Roman"/>
          <w:b/>
          <w:bCs/>
          <w:sz w:val="24"/>
          <w:szCs w:val="24"/>
        </w:rPr>
        <w:t xml:space="preserve">4.48 </w:t>
      </w:r>
      <w:r w:rsidRPr="00635B72">
        <w:rPr>
          <w:rFonts w:ascii="Times New Roman" w:eastAsia="Times New Roman" w:hAnsi="Times New Roman" w:cs="Times New Roman"/>
          <w:b/>
          <w:bCs/>
          <w:sz w:val="24"/>
          <w:szCs w:val="24"/>
        </w:rPr>
        <w:t>OBSERVED TABLE 2</w:t>
      </w:r>
    </w:p>
    <w:tbl>
      <w:tblPr>
        <w:tblStyle w:val="TableGrid"/>
        <w:tblW w:w="0" w:type="auto"/>
        <w:tblLook w:val="06A0" w:firstRow="1" w:lastRow="0" w:firstColumn="1" w:lastColumn="0" w:noHBand="1" w:noVBand="1"/>
      </w:tblPr>
      <w:tblGrid>
        <w:gridCol w:w="1629"/>
        <w:gridCol w:w="1290"/>
        <w:gridCol w:w="1357"/>
        <w:gridCol w:w="1422"/>
        <w:gridCol w:w="1436"/>
        <w:gridCol w:w="1525"/>
      </w:tblGrid>
      <w:tr w:rsidR="00970E2A" w:rsidRPr="00635B72" w:rsidTr="00635B72">
        <w:trPr>
          <w:trHeight w:val="762"/>
        </w:trPr>
        <w:tc>
          <w:tcPr>
            <w:tcW w:w="1640" w:type="dxa"/>
            <w:vMerge w:val="restart"/>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MONTHLY</w:t>
            </w:r>
          </w:p>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INCOME</w:t>
            </w:r>
          </w:p>
        </w:tc>
        <w:tc>
          <w:tcPr>
            <w:tcW w:w="5587" w:type="dxa"/>
            <w:gridSpan w:val="4"/>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MONTHLY INVESTMENT</w:t>
            </w:r>
          </w:p>
        </w:tc>
        <w:tc>
          <w:tcPr>
            <w:tcW w:w="1553" w:type="dxa"/>
            <w:vMerge w:val="restart"/>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r>
      <w:tr w:rsidR="00970E2A" w:rsidRPr="00635B72" w:rsidTr="00635B72">
        <w:trPr>
          <w:trHeight w:val="738"/>
        </w:trPr>
        <w:tc>
          <w:tcPr>
            <w:tcW w:w="1640" w:type="dxa"/>
            <w:vMerge/>
          </w:tcPr>
          <w:p w:rsidR="00970E2A" w:rsidRPr="00635B72" w:rsidRDefault="00970E2A" w:rsidP="00927BEA">
            <w:pPr>
              <w:spacing w:line="360" w:lineRule="auto"/>
              <w:jc w:val="center"/>
              <w:rPr>
                <w:rFonts w:ascii="Times New Roman" w:hAnsi="Times New Roman" w:cs="Times New Roman"/>
                <w:sz w:val="24"/>
                <w:szCs w:val="24"/>
              </w:rPr>
            </w:pP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Below ₹5,000</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₹5,001-₹10,000</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₹10,001-₹25,000</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₹25,000</w:t>
            </w:r>
          </w:p>
        </w:tc>
        <w:tc>
          <w:tcPr>
            <w:tcW w:w="1553" w:type="dxa"/>
            <w:vMerge/>
          </w:tcPr>
          <w:p w:rsidR="00970E2A" w:rsidRPr="00635B72" w:rsidRDefault="00970E2A" w:rsidP="00927BEA">
            <w:pPr>
              <w:spacing w:line="360" w:lineRule="auto"/>
              <w:jc w:val="center"/>
              <w:rPr>
                <w:rFonts w:ascii="Times New Roman" w:hAnsi="Times New Roman" w:cs="Times New Roman"/>
                <w:sz w:val="24"/>
                <w:szCs w:val="24"/>
              </w:rPr>
            </w:pPr>
          </w:p>
        </w:tc>
      </w:tr>
      <w:tr w:rsidR="00970E2A" w:rsidRPr="00635B72" w:rsidTr="00635B72">
        <w:trPr>
          <w:trHeight w:val="738"/>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UPTO ₹25,000</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w:t>
            </w:r>
          </w:p>
        </w:tc>
      </w:tr>
      <w:tr w:rsidR="00970E2A" w:rsidRPr="00635B72" w:rsidTr="00635B72">
        <w:trPr>
          <w:trHeight w:val="828"/>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₹25,001-₹50,000</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15</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36</w:t>
            </w:r>
          </w:p>
        </w:tc>
      </w:tr>
      <w:tr w:rsidR="00970E2A" w:rsidRPr="00635B72" w:rsidTr="00635B72">
        <w:trPr>
          <w:trHeight w:val="843"/>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₹50,001-₹75,000</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r>
      <w:tr w:rsidR="00970E2A" w:rsidRPr="00635B72" w:rsidTr="00635B72">
        <w:trPr>
          <w:trHeight w:val="798"/>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₹75,001-₹1LAKH</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r>
      <w:tr w:rsidR="00970E2A" w:rsidRPr="00635B72" w:rsidTr="00635B72">
        <w:trPr>
          <w:trHeight w:val="1023"/>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 LAKH &amp; ABOVE</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r>
      <w:tr w:rsidR="00970E2A" w:rsidRPr="00635B72" w:rsidTr="00635B72">
        <w:trPr>
          <w:trHeight w:val="792"/>
        </w:trPr>
        <w:tc>
          <w:tcPr>
            <w:tcW w:w="16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c>
          <w:tcPr>
            <w:tcW w:w="1312"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38</w:t>
            </w:r>
          </w:p>
        </w:tc>
        <w:tc>
          <w:tcPr>
            <w:tcW w:w="13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34</w:t>
            </w:r>
          </w:p>
        </w:tc>
        <w:tc>
          <w:tcPr>
            <w:tcW w:w="1440"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20</w:t>
            </w:r>
          </w:p>
        </w:tc>
        <w:tc>
          <w:tcPr>
            <w:tcW w:w="1459"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w:t>
            </w:r>
          </w:p>
        </w:tc>
        <w:tc>
          <w:tcPr>
            <w:tcW w:w="155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27BEA" w:rsidRPr="00635B72" w:rsidRDefault="00927BEA" w:rsidP="00970E2A">
      <w:pPr>
        <w:spacing w:line="360" w:lineRule="auto"/>
        <w:rPr>
          <w:rFonts w:ascii="Times New Roman" w:eastAsia="Times New Roman" w:hAnsi="Times New Roman" w:cs="Times New Roman"/>
          <w:b/>
          <w:bCs/>
          <w:sz w:val="24"/>
          <w:szCs w:val="24"/>
        </w:rPr>
      </w:pP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 xml:space="preserve">EXPECTED TABLE (E) </w:t>
      </w: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TABLE NO: </w:t>
      </w:r>
      <w:r w:rsidR="00927BEA" w:rsidRPr="00635B72">
        <w:rPr>
          <w:rFonts w:ascii="Times New Roman" w:eastAsia="Times New Roman" w:hAnsi="Times New Roman" w:cs="Times New Roman"/>
          <w:b/>
          <w:bCs/>
          <w:sz w:val="24"/>
          <w:szCs w:val="24"/>
        </w:rPr>
        <w:t>4.49 EXPECTED</w:t>
      </w:r>
      <w:r w:rsidRPr="00635B72">
        <w:rPr>
          <w:rFonts w:ascii="Times New Roman" w:eastAsia="Times New Roman" w:hAnsi="Times New Roman" w:cs="Times New Roman"/>
          <w:b/>
          <w:bCs/>
          <w:sz w:val="24"/>
          <w:szCs w:val="24"/>
        </w:rPr>
        <w:t xml:space="preserve"> TABLE 2</w:t>
      </w:r>
    </w:p>
    <w:tbl>
      <w:tblPr>
        <w:tblStyle w:val="TableGrid"/>
        <w:tblW w:w="0" w:type="auto"/>
        <w:tblLook w:val="06A0" w:firstRow="1" w:lastRow="0" w:firstColumn="1" w:lastColumn="0" w:noHBand="1" w:noVBand="1"/>
      </w:tblPr>
      <w:tblGrid>
        <w:gridCol w:w="1861"/>
        <w:gridCol w:w="1619"/>
        <w:gridCol w:w="1679"/>
        <w:gridCol w:w="1693"/>
        <w:gridCol w:w="1807"/>
      </w:tblGrid>
      <w:tr w:rsidR="00970E2A" w:rsidRPr="00635B72" w:rsidTr="00635B72">
        <w:trPr>
          <w:trHeight w:val="762"/>
        </w:trPr>
        <w:tc>
          <w:tcPr>
            <w:tcW w:w="1876" w:type="dxa"/>
            <w:vMerge w:val="restart"/>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MONTHLY</w:t>
            </w:r>
          </w:p>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INCOME</w:t>
            </w:r>
          </w:p>
        </w:tc>
        <w:tc>
          <w:tcPr>
            <w:tcW w:w="6897" w:type="dxa"/>
            <w:gridSpan w:val="4"/>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MONTHLY INVESTMENT</w:t>
            </w:r>
          </w:p>
        </w:tc>
      </w:tr>
      <w:tr w:rsidR="00970E2A" w:rsidRPr="00635B72" w:rsidTr="00635B72">
        <w:trPr>
          <w:trHeight w:val="738"/>
        </w:trPr>
        <w:tc>
          <w:tcPr>
            <w:tcW w:w="1876" w:type="dxa"/>
            <w:vMerge/>
          </w:tcPr>
          <w:p w:rsidR="00970E2A" w:rsidRPr="00635B72" w:rsidRDefault="00970E2A" w:rsidP="00927BEA">
            <w:pPr>
              <w:spacing w:line="360" w:lineRule="auto"/>
              <w:jc w:val="center"/>
              <w:rPr>
                <w:rFonts w:ascii="Times New Roman" w:hAnsi="Times New Roman" w:cs="Times New Roman"/>
                <w:sz w:val="24"/>
                <w:szCs w:val="24"/>
              </w:rPr>
            </w:pP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Below ₹5,000</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₹5,001-₹10,000</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₹10,001-₹25,000</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Above ₹25,000</w:t>
            </w:r>
          </w:p>
        </w:tc>
      </w:tr>
      <w:tr w:rsidR="00970E2A" w:rsidRPr="00635B72" w:rsidTr="00635B72">
        <w:trPr>
          <w:trHeight w:val="738"/>
        </w:trPr>
        <w:tc>
          <w:tcPr>
            <w:tcW w:w="18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UPTO ₹25,000</w:t>
            </w: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8.36</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7.48</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4.4</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1.76</w:t>
            </w:r>
          </w:p>
        </w:tc>
      </w:tr>
      <w:tr w:rsidR="00970E2A" w:rsidRPr="00635B72" w:rsidTr="00635B72">
        <w:trPr>
          <w:trHeight w:val="828"/>
        </w:trPr>
        <w:tc>
          <w:tcPr>
            <w:tcW w:w="18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₹25,001-₹50,000</w:t>
            </w: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13.68</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12.24</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7.2</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2.88</w:t>
            </w:r>
          </w:p>
        </w:tc>
      </w:tr>
      <w:tr w:rsidR="00970E2A" w:rsidRPr="00635B72" w:rsidTr="00635B72">
        <w:trPr>
          <w:trHeight w:val="843"/>
        </w:trPr>
        <w:tc>
          <w:tcPr>
            <w:tcW w:w="18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₹50,001-₹75,000</w:t>
            </w: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9.12</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8.16</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4.8</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1.92</w:t>
            </w:r>
          </w:p>
        </w:tc>
      </w:tr>
      <w:tr w:rsidR="00970E2A" w:rsidRPr="00635B72" w:rsidTr="00635B72">
        <w:trPr>
          <w:trHeight w:val="798"/>
        </w:trPr>
        <w:tc>
          <w:tcPr>
            <w:tcW w:w="18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₹75,001-₹1LAKH</w:t>
            </w: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4.56</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4.08</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0.96</w:t>
            </w:r>
          </w:p>
        </w:tc>
      </w:tr>
      <w:tr w:rsidR="00970E2A" w:rsidRPr="00635B72" w:rsidTr="00635B72">
        <w:trPr>
          <w:trHeight w:val="1023"/>
        </w:trPr>
        <w:tc>
          <w:tcPr>
            <w:tcW w:w="1876"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 LAKH &amp; ABOVE</w:t>
            </w:r>
          </w:p>
        </w:tc>
        <w:tc>
          <w:tcPr>
            <w:tcW w:w="164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2.28</w:t>
            </w:r>
          </w:p>
        </w:tc>
        <w:tc>
          <w:tcPr>
            <w:tcW w:w="1703"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2.04</w:t>
            </w:r>
          </w:p>
        </w:tc>
        <w:tc>
          <w:tcPr>
            <w:tcW w:w="1714"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835" w:type="dxa"/>
          </w:tcPr>
          <w:p w:rsidR="00970E2A" w:rsidRPr="00635B72" w:rsidRDefault="00970E2A" w:rsidP="00927BE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0.48</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CHI-SQUARE CALCULATION</w:t>
      </w:r>
    </w:p>
    <w:p w:rsidR="00970E2A" w:rsidRPr="00635B72" w:rsidRDefault="00970E2A"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TABLE NO: </w:t>
      </w:r>
      <w:r w:rsidR="00927BEA" w:rsidRPr="00635B72">
        <w:rPr>
          <w:rFonts w:ascii="Times New Roman" w:eastAsia="Times New Roman" w:hAnsi="Times New Roman" w:cs="Times New Roman"/>
          <w:b/>
          <w:bCs/>
          <w:sz w:val="24"/>
          <w:szCs w:val="24"/>
        </w:rPr>
        <w:t>4.50</w:t>
      </w:r>
      <w:r w:rsidRPr="00635B72">
        <w:rPr>
          <w:rFonts w:ascii="Times New Roman" w:eastAsia="Times New Roman" w:hAnsi="Times New Roman" w:cs="Times New Roman"/>
          <w:b/>
          <w:bCs/>
          <w:sz w:val="24"/>
          <w:szCs w:val="24"/>
        </w:rPr>
        <w:t xml:space="preserve"> CHI-SQUARE TABLE 2</w:t>
      </w:r>
    </w:p>
    <w:tbl>
      <w:tblPr>
        <w:tblStyle w:val="TableGrid"/>
        <w:tblW w:w="0" w:type="auto"/>
        <w:tblLook w:val="06A0" w:firstRow="1" w:lastRow="0" w:firstColumn="1" w:lastColumn="0" w:noHBand="1" w:noVBand="1"/>
      </w:tblPr>
      <w:tblGrid>
        <w:gridCol w:w="2260"/>
        <w:gridCol w:w="1710"/>
        <w:gridCol w:w="1425"/>
        <w:gridCol w:w="1541"/>
        <w:gridCol w:w="1717"/>
      </w:tblGrid>
      <w:tr w:rsidR="00970E2A" w:rsidRPr="00635B72" w:rsidTr="00635B72">
        <w:trPr>
          <w:trHeight w:val="78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OBSERVED VALUE</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EXPECTED VALUE</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(O-E)</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w:t>
            </w:r>
          </w:p>
          <w:p w:rsidR="00970E2A" w:rsidRPr="00635B72" w:rsidRDefault="00970E2A" w:rsidP="000E09A9">
            <w:pPr>
              <w:spacing w:line="360" w:lineRule="auto"/>
              <w:jc w:val="center"/>
              <w:rPr>
                <w:rFonts w:ascii="Times New Roman" w:eastAsia="Times New Roman" w:hAnsi="Times New Roman" w:cs="Times New Roman"/>
                <w:sz w:val="24"/>
                <w:szCs w:val="24"/>
              </w:rPr>
            </w:pP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2/E</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8.36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4.64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21.5296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2.575</w:t>
            </w:r>
          </w:p>
        </w:tc>
      </w:tr>
      <w:tr w:rsidR="00970E2A" w:rsidRPr="00635B72" w:rsidTr="00635B72">
        <w:trPr>
          <w:trHeight w:val="60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7.48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0.2304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0.031</w:t>
            </w:r>
          </w:p>
        </w:tc>
      </w:tr>
      <w:tr w:rsidR="00970E2A" w:rsidRPr="00635B72" w:rsidTr="00635B72">
        <w:trPr>
          <w:trHeight w:val="60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5.76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1.309</w:t>
            </w:r>
          </w:p>
        </w:tc>
      </w:tr>
      <w:tr w:rsidR="00970E2A" w:rsidRPr="00635B72" w:rsidTr="00635B72">
        <w:trPr>
          <w:trHeight w:val="585"/>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3.0976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1.76</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15</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13.68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1.7424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0.127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lastRenderedPageBreak/>
              <w:t>14</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12.24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3.0976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0.253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3.5344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1.227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9.12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4.4944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0.493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8.16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0.7056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0.086</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1.92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0.0064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4.56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6.5536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1.438</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4.08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1.1664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0.286</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6.76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2.817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0.96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1.0816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1.127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1.6384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0.719</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2.04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1.0816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0.53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0.033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6.3504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13.23</w:t>
            </w:r>
          </w:p>
        </w:tc>
      </w:tr>
    </w:tbl>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sz w:val="24"/>
          <w:szCs w:val="24"/>
        </w:rPr>
        <w:t>Source: Primary data</w:t>
      </w:r>
      <w:r w:rsidRPr="00635B72">
        <w:rPr>
          <w:rFonts w:ascii="Times New Roman" w:eastAsia="Times New Roman" w:hAnsi="Times New Roman" w:cs="Times New Roman"/>
          <w:b/>
          <w:bCs/>
          <w:sz w:val="24"/>
          <w:szCs w:val="24"/>
        </w:rPr>
        <w:t xml:space="preserve">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X</w:t>
      </w:r>
      <w:r w:rsidRPr="00635B72">
        <w:rPr>
          <w:rFonts w:ascii="Times New Roman" w:eastAsia="Times New Roman" w:hAnsi="Times New Roman" w:cs="Times New Roman"/>
          <w:sz w:val="24"/>
          <w:szCs w:val="24"/>
          <w:vertAlign w:val="superscript"/>
        </w:rPr>
        <w:t>2</w:t>
      </w:r>
      <w:r w:rsidRPr="00635B72">
        <w:rPr>
          <w:rFonts w:ascii="Times New Roman" w:eastAsia="Times New Roman" w:hAnsi="Times New Roman" w:cs="Times New Roman"/>
          <w:sz w:val="24"/>
          <w:szCs w:val="24"/>
        </w:rPr>
        <w:t xml:space="preserve"> = 28.544</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 xml:space="preserve">Degree of freedom = (5-1) (4-1) = 12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 xml:space="preserve">Level of Significance = 0.05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Table Value of X</w:t>
      </w:r>
      <w:r w:rsidRPr="00635B72">
        <w:rPr>
          <w:rFonts w:ascii="Times New Roman" w:eastAsia="Times New Roman" w:hAnsi="Times New Roman" w:cs="Times New Roman"/>
          <w:sz w:val="24"/>
          <w:szCs w:val="24"/>
          <w:vertAlign w:val="superscript"/>
        </w:rPr>
        <w:t>2</w:t>
      </w:r>
      <w:r w:rsidRPr="00635B72">
        <w:rPr>
          <w:rFonts w:ascii="Times New Roman" w:eastAsia="Times New Roman" w:hAnsi="Times New Roman" w:cs="Times New Roman"/>
          <w:sz w:val="24"/>
          <w:szCs w:val="24"/>
        </w:rPr>
        <w:t xml:space="preserve">: 21.026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 xml:space="preserve">Since the calculated value is (28.544) &gt; table value (21.026) , we reject the null hypothesis. </w:t>
      </w:r>
    </w:p>
    <w:p w:rsidR="00970E2A" w:rsidRPr="00635B72" w:rsidRDefault="00970E2A" w:rsidP="00970E2A">
      <w:pPr>
        <w:spacing w:line="360" w:lineRule="auto"/>
        <w:rPr>
          <w:rFonts w:ascii="Times New Roman" w:hAnsi="Times New Roman" w:cs="Times New Roman"/>
          <w:sz w:val="24"/>
          <w:szCs w:val="24"/>
        </w:rPr>
      </w:pPr>
      <w:r w:rsidRPr="00635B72">
        <w:rPr>
          <w:rFonts w:ascii="Times New Roman" w:eastAsia="Times New Roman" w:hAnsi="Times New Roman" w:cs="Times New Roman"/>
          <w:b/>
          <w:bCs/>
          <w:sz w:val="24"/>
          <w:szCs w:val="24"/>
        </w:rPr>
        <w:lastRenderedPageBreak/>
        <w:t>Interpretation</w:t>
      </w:r>
      <w:r w:rsidRPr="00635B72">
        <w:rPr>
          <w:rFonts w:ascii="Times New Roman" w:eastAsia="Times New Roman" w:hAnsi="Times New Roman" w:cs="Times New Roman"/>
          <w:sz w:val="24"/>
          <w:szCs w:val="24"/>
        </w:rPr>
        <w:t>: There is a significant relationship between income level and amount invested in mutual funds</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Hypothesis III</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H0: </w:t>
      </w:r>
      <w:r w:rsidRPr="00635B72">
        <w:rPr>
          <w:rFonts w:ascii="Times New Roman" w:eastAsia="Times New Roman" w:hAnsi="Times New Roman" w:cs="Times New Roman"/>
          <w:sz w:val="24"/>
          <w:szCs w:val="24"/>
        </w:rPr>
        <w:t>There is no significant relationship between risk appetite and type of mutual fund preferred.</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H1:</w:t>
      </w:r>
      <w:r w:rsidRPr="00635B72">
        <w:rPr>
          <w:rFonts w:ascii="Times New Roman" w:eastAsia="Times New Roman" w:hAnsi="Times New Roman" w:cs="Times New Roman"/>
          <w:sz w:val="24"/>
          <w:szCs w:val="24"/>
        </w:rPr>
        <w:t xml:space="preserve"> There is a significant relationship between risk appetite and type of mutual fund preferred.</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OBSERVED TABLE (O) </w:t>
      </w:r>
    </w:p>
    <w:p w:rsidR="00970E2A" w:rsidRPr="00635B72" w:rsidRDefault="00970E2A" w:rsidP="00970E2A">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TABLE NO: </w:t>
      </w:r>
      <w:r w:rsidR="000E09A9" w:rsidRPr="00635B72">
        <w:rPr>
          <w:rFonts w:ascii="Times New Roman" w:eastAsia="Times New Roman" w:hAnsi="Times New Roman" w:cs="Times New Roman"/>
          <w:b/>
          <w:bCs/>
          <w:sz w:val="24"/>
          <w:szCs w:val="24"/>
        </w:rPr>
        <w:t>4.51</w:t>
      </w:r>
      <w:r w:rsidRPr="00635B72">
        <w:rPr>
          <w:rFonts w:ascii="Times New Roman" w:eastAsia="Times New Roman" w:hAnsi="Times New Roman" w:cs="Times New Roman"/>
          <w:b/>
          <w:bCs/>
          <w:sz w:val="24"/>
          <w:szCs w:val="24"/>
        </w:rPr>
        <w:t xml:space="preserve"> OBSERVED TABLE 3</w:t>
      </w:r>
    </w:p>
    <w:tbl>
      <w:tblPr>
        <w:tblStyle w:val="TableGrid"/>
        <w:tblW w:w="0" w:type="auto"/>
        <w:tblLook w:val="06A0" w:firstRow="1" w:lastRow="0" w:firstColumn="1" w:lastColumn="0" w:noHBand="1" w:noVBand="1"/>
      </w:tblPr>
      <w:tblGrid>
        <w:gridCol w:w="1550"/>
        <w:gridCol w:w="1276"/>
        <w:gridCol w:w="1103"/>
        <w:gridCol w:w="1295"/>
        <w:gridCol w:w="1095"/>
        <w:gridCol w:w="1337"/>
        <w:gridCol w:w="1003"/>
      </w:tblGrid>
      <w:tr w:rsidR="00970E2A" w:rsidRPr="00635B72" w:rsidTr="00635B72">
        <w:trPr>
          <w:trHeight w:val="597"/>
        </w:trPr>
        <w:tc>
          <w:tcPr>
            <w:tcW w:w="1530" w:type="dxa"/>
            <w:vMerge w:val="restart"/>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RISK APPETITE</w:t>
            </w:r>
          </w:p>
        </w:tc>
        <w:tc>
          <w:tcPr>
            <w:tcW w:w="6305" w:type="dxa"/>
            <w:gridSpan w:val="5"/>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TYPE OF FUND</w:t>
            </w:r>
          </w:p>
        </w:tc>
        <w:tc>
          <w:tcPr>
            <w:tcW w:w="998" w:type="dxa"/>
            <w:vMerge w:val="restart"/>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r>
      <w:tr w:rsidR="00970E2A" w:rsidRPr="00635B72" w:rsidTr="00635B72">
        <w:trPr>
          <w:trHeight w:val="837"/>
        </w:trPr>
        <w:tc>
          <w:tcPr>
            <w:tcW w:w="1530" w:type="dxa"/>
            <w:vMerge/>
          </w:tcPr>
          <w:p w:rsidR="00970E2A" w:rsidRPr="00635B72" w:rsidRDefault="00970E2A" w:rsidP="000E09A9">
            <w:pPr>
              <w:spacing w:line="360" w:lineRule="auto"/>
              <w:jc w:val="center"/>
              <w:rPr>
                <w:rFonts w:ascii="Times New Roman" w:hAnsi="Times New Roman" w:cs="Times New Roman"/>
                <w:sz w:val="24"/>
                <w:szCs w:val="24"/>
              </w:rPr>
            </w:pPr>
          </w:p>
        </w:tc>
        <w:tc>
          <w:tcPr>
            <w:tcW w:w="133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EQUITY FUND</w:t>
            </w:r>
          </w:p>
        </w:tc>
        <w:tc>
          <w:tcPr>
            <w:tcW w:w="1182"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DEBT FUND</w:t>
            </w:r>
          </w:p>
        </w:tc>
        <w:tc>
          <w:tcPr>
            <w:tcW w:w="134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HYBRID FUND</w:t>
            </w:r>
          </w:p>
        </w:tc>
        <w:tc>
          <w:tcPr>
            <w:tcW w:w="1139"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INDEX FUND</w:t>
            </w:r>
          </w:p>
        </w:tc>
        <w:tc>
          <w:tcPr>
            <w:tcW w:w="130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ELSS/TAX SAVING</w:t>
            </w:r>
          </w:p>
        </w:tc>
        <w:tc>
          <w:tcPr>
            <w:tcW w:w="998" w:type="dxa"/>
            <w:vMerge/>
          </w:tcPr>
          <w:p w:rsidR="00970E2A" w:rsidRPr="00635B72" w:rsidRDefault="00970E2A" w:rsidP="000E09A9">
            <w:pPr>
              <w:spacing w:line="360" w:lineRule="auto"/>
              <w:jc w:val="center"/>
              <w:rPr>
                <w:rFonts w:ascii="Times New Roman" w:hAnsi="Times New Roman" w:cs="Times New Roman"/>
                <w:sz w:val="24"/>
                <w:szCs w:val="24"/>
              </w:rPr>
            </w:pPr>
          </w:p>
        </w:tc>
      </w:tr>
      <w:tr w:rsidR="00970E2A" w:rsidRPr="00635B72" w:rsidTr="00635B72">
        <w:trPr>
          <w:trHeight w:val="822"/>
        </w:trPr>
        <w:tc>
          <w:tcPr>
            <w:tcW w:w="153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LOW</w:t>
            </w:r>
          </w:p>
        </w:tc>
        <w:tc>
          <w:tcPr>
            <w:tcW w:w="133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182"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11</w:t>
            </w:r>
          </w:p>
        </w:tc>
        <w:tc>
          <w:tcPr>
            <w:tcW w:w="134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139"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30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99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r>
      <w:tr w:rsidR="00970E2A" w:rsidRPr="00635B72" w:rsidTr="00635B72">
        <w:trPr>
          <w:trHeight w:val="987"/>
        </w:trPr>
        <w:tc>
          <w:tcPr>
            <w:tcW w:w="153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MODERATE</w:t>
            </w:r>
          </w:p>
        </w:tc>
        <w:tc>
          <w:tcPr>
            <w:tcW w:w="133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w:t>
            </w:r>
          </w:p>
        </w:tc>
        <w:tc>
          <w:tcPr>
            <w:tcW w:w="1182"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w:t>
            </w:r>
          </w:p>
        </w:tc>
        <w:tc>
          <w:tcPr>
            <w:tcW w:w="134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16</w:t>
            </w:r>
          </w:p>
        </w:tc>
        <w:tc>
          <w:tcPr>
            <w:tcW w:w="1139"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w:t>
            </w:r>
          </w:p>
        </w:tc>
        <w:tc>
          <w:tcPr>
            <w:tcW w:w="130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w:t>
            </w:r>
          </w:p>
        </w:tc>
        <w:tc>
          <w:tcPr>
            <w:tcW w:w="99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58</w:t>
            </w:r>
          </w:p>
        </w:tc>
      </w:tr>
      <w:tr w:rsidR="00970E2A" w:rsidRPr="00635B72" w:rsidTr="00635B72">
        <w:trPr>
          <w:trHeight w:val="912"/>
        </w:trPr>
        <w:tc>
          <w:tcPr>
            <w:tcW w:w="153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HIGH</w:t>
            </w:r>
          </w:p>
        </w:tc>
        <w:tc>
          <w:tcPr>
            <w:tcW w:w="133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w:t>
            </w:r>
          </w:p>
        </w:tc>
        <w:tc>
          <w:tcPr>
            <w:tcW w:w="1182"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34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139"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30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99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w:t>
            </w:r>
          </w:p>
        </w:tc>
      </w:tr>
      <w:tr w:rsidR="00970E2A" w:rsidRPr="00635B72" w:rsidTr="00635B72">
        <w:trPr>
          <w:trHeight w:val="912"/>
        </w:trPr>
        <w:tc>
          <w:tcPr>
            <w:tcW w:w="153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c>
          <w:tcPr>
            <w:tcW w:w="133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38</w:t>
            </w:r>
          </w:p>
        </w:tc>
        <w:tc>
          <w:tcPr>
            <w:tcW w:w="1182"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15</w:t>
            </w:r>
          </w:p>
        </w:tc>
        <w:tc>
          <w:tcPr>
            <w:tcW w:w="134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139"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w:t>
            </w:r>
          </w:p>
        </w:tc>
        <w:tc>
          <w:tcPr>
            <w:tcW w:w="1303"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w:t>
            </w:r>
          </w:p>
        </w:tc>
        <w:tc>
          <w:tcPr>
            <w:tcW w:w="99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100</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0E09A9" w:rsidRPr="00635B72" w:rsidRDefault="000E09A9" w:rsidP="00970E2A">
      <w:pPr>
        <w:spacing w:line="360" w:lineRule="auto"/>
        <w:rPr>
          <w:rFonts w:ascii="Times New Roman" w:eastAsia="Times New Roman" w:hAnsi="Times New Roman" w:cs="Times New Roman"/>
          <w:sz w:val="24"/>
          <w:szCs w:val="24"/>
        </w:rPr>
      </w:pPr>
    </w:p>
    <w:p w:rsidR="000E09A9" w:rsidRPr="00635B72" w:rsidRDefault="000E09A9" w:rsidP="00970E2A">
      <w:pPr>
        <w:spacing w:line="360" w:lineRule="auto"/>
        <w:rPr>
          <w:rFonts w:ascii="Times New Roman" w:eastAsia="Times New Roman" w:hAnsi="Times New Roman" w:cs="Times New Roman"/>
          <w:sz w:val="24"/>
          <w:szCs w:val="24"/>
        </w:rPr>
      </w:pPr>
    </w:p>
    <w:p w:rsidR="000E09A9" w:rsidRPr="00635B72" w:rsidRDefault="000E09A9" w:rsidP="00970E2A">
      <w:pPr>
        <w:spacing w:line="360" w:lineRule="auto"/>
        <w:rPr>
          <w:rFonts w:ascii="Times New Roman" w:eastAsia="Times New Roman" w:hAnsi="Times New Roman" w:cs="Times New Roman"/>
          <w:sz w:val="24"/>
          <w:szCs w:val="24"/>
        </w:rPr>
      </w:pPr>
    </w:p>
    <w:p w:rsidR="000E09A9" w:rsidRPr="00635B72" w:rsidRDefault="000E09A9" w:rsidP="00970E2A">
      <w:pPr>
        <w:spacing w:line="360" w:lineRule="auto"/>
        <w:rPr>
          <w:rFonts w:ascii="Times New Roman" w:eastAsia="Times New Roman" w:hAnsi="Times New Roman" w:cs="Times New Roman"/>
          <w:sz w:val="24"/>
          <w:szCs w:val="24"/>
        </w:rPr>
      </w:pPr>
    </w:p>
    <w:p w:rsidR="000E09A9" w:rsidRPr="00635B72" w:rsidRDefault="000E09A9" w:rsidP="00970E2A">
      <w:pPr>
        <w:spacing w:line="360" w:lineRule="auto"/>
        <w:rPr>
          <w:rFonts w:ascii="Times New Roman" w:eastAsia="Times New Roman" w:hAnsi="Times New Roman" w:cs="Times New Roman"/>
          <w:sz w:val="24"/>
          <w:szCs w:val="24"/>
        </w:rPr>
      </w:pP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 xml:space="preserve">EXPECTED TABLE (E) </w:t>
      </w:r>
    </w:p>
    <w:p w:rsidR="00970E2A" w:rsidRPr="00635B72" w:rsidRDefault="000E09A9" w:rsidP="00970E2A">
      <w:pPr>
        <w:spacing w:line="360" w:lineRule="auto"/>
        <w:jc w:val="center"/>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 xml:space="preserve">TABLE NO: 4.52 </w:t>
      </w:r>
      <w:r w:rsidR="00970E2A" w:rsidRPr="00635B72">
        <w:rPr>
          <w:rFonts w:ascii="Times New Roman" w:eastAsia="Times New Roman" w:hAnsi="Times New Roman" w:cs="Times New Roman"/>
          <w:b/>
          <w:bCs/>
          <w:sz w:val="24"/>
          <w:szCs w:val="24"/>
        </w:rPr>
        <w:t>EXPECTED TABLE 3</w:t>
      </w:r>
    </w:p>
    <w:tbl>
      <w:tblPr>
        <w:tblStyle w:val="TableGrid"/>
        <w:tblW w:w="0" w:type="auto"/>
        <w:tblLook w:val="06A0" w:firstRow="1" w:lastRow="0" w:firstColumn="1" w:lastColumn="0" w:noHBand="1" w:noVBand="1"/>
      </w:tblPr>
      <w:tblGrid>
        <w:gridCol w:w="1916"/>
        <w:gridCol w:w="1364"/>
        <w:gridCol w:w="990"/>
        <w:gridCol w:w="1316"/>
        <w:gridCol w:w="1168"/>
        <w:gridCol w:w="1617"/>
      </w:tblGrid>
      <w:tr w:rsidR="00970E2A" w:rsidRPr="00635B72" w:rsidTr="00635B72">
        <w:trPr>
          <w:trHeight w:val="597"/>
        </w:trPr>
        <w:tc>
          <w:tcPr>
            <w:tcW w:w="1916" w:type="dxa"/>
            <w:vMerge w:val="restart"/>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RISK APPETITE</w:t>
            </w:r>
          </w:p>
        </w:tc>
        <w:tc>
          <w:tcPr>
            <w:tcW w:w="6455" w:type="dxa"/>
            <w:gridSpan w:val="5"/>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TYPE OF FUND</w:t>
            </w:r>
          </w:p>
        </w:tc>
      </w:tr>
      <w:tr w:rsidR="00970E2A" w:rsidRPr="00635B72" w:rsidTr="00635B72">
        <w:trPr>
          <w:trHeight w:val="837"/>
        </w:trPr>
        <w:tc>
          <w:tcPr>
            <w:tcW w:w="1916" w:type="dxa"/>
            <w:vMerge/>
          </w:tcPr>
          <w:p w:rsidR="00970E2A" w:rsidRPr="00635B72" w:rsidRDefault="00970E2A" w:rsidP="000E09A9">
            <w:pPr>
              <w:spacing w:line="360" w:lineRule="auto"/>
              <w:jc w:val="center"/>
              <w:rPr>
                <w:rFonts w:ascii="Times New Roman" w:hAnsi="Times New Roman" w:cs="Times New Roman"/>
                <w:sz w:val="24"/>
                <w:szCs w:val="24"/>
              </w:rPr>
            </w:pPr>
          </w:p>
        </w:tc>
        <w:tc>
          <w:tcPr>
            <w:tcW w:w="1364"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EQUITY FUND</w:t>
            </w:r>
          </w:p>
        </w:tc>
        <w:tc>
          <w:tcPr>
            <w:tcW w:w="99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DEBT FUND</w:t>
            </w:r>
          </w:p>
        </w:tc>
        <w:tc>
          <w:tcPr>
            <w:tcW w:w="13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HYBRID FUND</w:t>
            </w:r>
          </w:p>
        </w:tc>
        <w:tc>
          <w:tcPr>
            <w:tcW w:w="116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INDEX FUND</w:t>
            </w:r>
          </w:p>
        </w:tc>
        <w:tc>
          <w:tcPr>
            <w:tcW w:w="16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ELSS/TAX SAVING</w:t>
            </w:r>
          </w:p>
        </w:tc>
      </w:tr>
      <w:tr w:rsidR="00970E2A" w:rsidRPr="00635B72" w:rsidTr="00635B72">
        <w:trPr>
          <w:trHeight w:val="822"/>
        </w:trPr>
        <w:tc>
          <w:tcPr>
            <w:tcW w:w="19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LOW</w:t>
            </w:r>
          </w:p>
        </w:tc>
        <w:tc>
          <w:tcPr>
            <w:tcW w:w="1364"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9.12</w:t>
            </w:r>
          </w:p>
        </w:tc>
        <w:tc>
          <w:tcPr>
            <w:tcW w:w="99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3.6</w:t>
            </w:r>
          </w:p>
        </w:tc>
        <w:tc>
          <w:tcPr>
            <w:tcW w:w="13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5.76</w:t>
            </w:r>
          </w:p>
        </w:tc>
        <w:tc>
          <w:tcPr>
            <w:tcW w:w="116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6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3.12</w:t>
            </w:r>
          </w:p>
        </w:tc>
      </w:tr>
      <w:tr w:rsidR="00970E2A" w:rsidRPr="00635B72" w:rsidTr="00635B72">
        <w:trPr>
          <w:trHeight w:val="987"/>
        </w:trPr>
        <w:tc>
          <w:tcPr>
            <w:tcW w:w="19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MODERATE</w:t>
            </w:r>
          </w:p>
        </w:tc>
        <w:tc>
          <w:tcPr>
            <w:tcW w:w="1364"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22.04</w:t>
            </w:r>
          </w:p>
        </w:tc>
        <w:tc>
          <w:tcPr>
            <w:tcW w:w="99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8.7</w:t>
            </w:r>
          </w:p>
        </w:tc>
        <w:tc>
          <w:tcPr>
            <w:tcW w:w="13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13.92</w:t>
            </w:r>
          </w:p>
        </w:tc>
        <w:tc>
          <w:tcPr>
            <w:tcW w:w="116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5.8</w:t>
            </w:r>
          </w:p>
        </w:tc>
        <w:tc>
          <w:tcPr>
            <w:tcW w:w="16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7.54</w:t>
            </w:r>
          </w:p>
        </w:tc>
      </w:tr>
      <w:tr w:rsidR="00970E2A" w:rsidRPr="00635B72" w:rsidTr="00635B72">
        <w:trPr>
          <w:trHeight w:val="912"/>
        </w:trPr>
        <w:tc>
          <w:tcPr>
            <w:tcW w:w="19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HIGH</w:t>
            </w:r>
          </w:p>
        </w:tc>
        <w:tc>
          <w:tcPr>
            <w:tcW w:w="1364"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6.84</w:t>
            </w:r>
          </w:p>
        </w:tc>
        <w:tc>
          <w:tcPr>
            <w:tcW w:w="99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2.7</w:t>
            </w:r>
          </w:p>
        </w:tc>
        <w:tc>
          <w:tcPr>
            <w:tcW w:w="1316"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4.32</w:t>
            </w:r>
          </w:p>
        </w:tc>
        <w:tc>
          <w:tcPr>
            <w:tcW w:w="1168"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w:t>
            </w:r>
          </w:p>
        </w:tc>
        <w:tc>
          <w:tcPr>
            <w:tcW w:w="16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2.34</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CHI-SQUARE CALCULATION</w:t>
      </w:r>
    </w:p>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TABLE NO: </w:t>
      </w:r>
      <w:r w:rsidR="000E09A9" w:rsidRPr="00635B72">
        <w:rPr>
          <w:rFonts w:ascii="Times New Roman" w:eastAsia="Times New Roman" w:hAnsi="Times New Roman" w:cs="Times New Roman"/>
          <w:b/>
          <w:bCs/>
          <w:sz w:val="24"/>
          <w:szCs w:val="24"/>
        </w:rPr>
        <w:t xml:space="preserve">4.53 </w:t>
      </w:r>
      <w:r w:rsidRPr="00635B72">
        <w:rPr>
          <w:rFonts w:ascii="Times New Roman" w:eastAsia="Times New Roman" w:hAnsi="Times New Roman" w:cs="Times New Roman"/>
          <w:b/>
          <w:bCs/>
          <w:sz w:val="24"/>
          <w:szCs w:val="24"/>
        </w:rPr>
        <w:t>CHI-SQUARE TABLE 3</w:t>
      </w:r>
    </w:p>
    <w:tbl>
      <w:tblPr>
        <w:tblStyle w:val="TableGrid"/>
        <w:tblW w:w="0" w:type="auto"/>
        <w:tblLook w:val="06A0" w:firstRow="1" w:lastRow="0" w:firstColumn="1" w:lastColumn="0" w:noHBand="1" w:noVBand="1"/>
      </w:tblPr>
      <w:tblGrid>
        <w:gridCol w:w="2260"/>
        <w:gridCol w:w="1710"/>
        <w:gridCol w:w="1425"/>
        <w:gridCol w:w="1541"/>
        <w:gridCol w:w="1717"/>
      </w:tblGrid>
      <w:tr w:rsidR="00970E2A" w:rsidRPr="00635B72" w:rsidTr="00635B72">
        <w:trPr>
          <w:trHeight w:val="78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OBSERVED VALUE</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EXPECTED VALUE</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(O-E)</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w:t>
            </w:r>
          </w:p>
          <w:p w:rsidR="00970E2A" w:rsidRPr="00635B72" w:rsidRDefault="00970E2A" w:rsidP="000E09A9">
            <w:pPr>
              <w:spacing w:line="360" w:lineRule="auto"/>
              <w:jc w:val="center"/>
              <w:rPr>
                <w:rFonts w:ascii="Times New Roman" w:eastAsia="Times New Roman" w:hAnsi="Times New Roman" w:cs="Times New Roman"/>
                <w:sz w:val="24"/>
                <w:szCs w:val="24"/>
              </w:rPr>
            </w:pP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vertAlign w:val="superscript"/>
              </w:rPr>
            </w:pPr>
            <w:r w:rsidRPr="00635B72">
              <w:rPr>
                <w:rFonts w:ascii="Times New Roman" w:eastAsia="Times New Roman" w:hAnsi="Times New Roman" w:cs="Times New Roman"/>
                <w:sz w:val="24"/>
                <w:szCs w:val="24"/>
              </w:rPr>
              <w:t>(O-E)</w:t>
            </w:r>
            <w:r w:rsidRPr="00635B72">
              <w:rPr>
                <w:rFonts w:ascii="Times New Roman" w:eastAsia="Times New Roman" w:hAnsi="Times New Roman" w:cs="Times New Roman"/>
                <w:sz w:val="24"/>
                <w:szCs w:val="24"/>
                <w:vertAlign w:val="superscript"/>
              </w:rPr>
              <w:t>2/E</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9.12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50.694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5.559</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54.76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15.211</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5.76</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0.058</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0.010</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0.067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3.12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0.014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0.005</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22.04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0.002</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8.7</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-4.7</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22.09</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2.539</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16</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13.92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2.08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4.326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0.311</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lastRenderedPageBreak/>
              <w:t>7</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0.248</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9</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7.54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2.132</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0.283</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6.84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7.16</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51.266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7.495</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2.7</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-2.7</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7.29</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2.7</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4.32</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-2.32</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5.382</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1.246</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-0.8</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0.64</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0.356</w:t>
            </w:r>
          </w:p>
        </w:tc>
      </w:tr>
      <w:tr w:rsidR="00970E2A" w:rsidRPr="00635B72" w:rsidTr="00635B72">
        <w:trPr>
          <w:trHeight w:val="630"/>
        </w:trPr>
        <w:tc>
          <w:tcPr>
            <w:tcW w:w="226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w:t>
            </w:r>
          </w:p>
        </w:tc>
        <w:tc>
          <w:tcPr>
            <w:tcW w:w="1710"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2.34</w:t>
            </w:r>
          </w:p>
        </w:tc>
        <w:tc>
          <w:tcPr>
            <w:tcW w:w="1425"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-1.34</w:t>
            </w:r>
          </w:p>
        </w:tc>
        <w:tc>
          <w:tcPr>
            <w:tcW w:w="1541"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1.796</w:t>
            </w:r>
          </w:p>
        </w:tc>
        <w:tc>
          <w:tcPr>
            <w:tcW w:w="1717" w:type="dxa"/>
          </w:tcPr>
          <w:p w:rsidR="00970E2A" w:rsidRPr="00635B72" w:rsidRDefault="00970E2A" w:rsidP="000E09A9">
            <w:pPr>
              <w:spacing w:line="360" w:lineRule="auto"/>
              <w:jc w:val="center"/>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0.768</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X</w:t>
      </w:r>
      <w:r w:rsidRPr="00635B72">
        <w:rPr>
          <w:rFonts w:ascii="Times New Roman" w:eastAsia="Times New Roman" w:hAnsi="Times New Roman" w:cs="Times New Roman"/>
          <w:sz w:val="24"/>
          <w:szCs w:val="24"/>
          <w:vertAlign w:val="superscript"/>
        </w:rPr>
        <w:t>2</w:t>
      </w:r>
      <w:r w:rsidRPr="00635B72">
        <w:rPr>
          <w:rFonts w:ascii="Times New Roman" w:eastAsia="Times New Roman" w:hAnsi="Times New Roman" w:cs="Times New Roman"/>
          <w:sz w:val="24"/>
          <w:szCs w:val="24"/>
        </w:rPr>
        <w:t xml:space="preserve"> = 36.798</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Degree of freedom = (3-1) (5-1) = 8</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 xml:space="preserve">Level of Significance = 0.05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Table Value of X</w:t>
      </w:r>
      <w:r w:rsidRPr="00635B72">
        <w:rPr>
          <w:rFonts w:ascii="Times New Roman" w:eastAsia="Times New Roman" w:hAnsi="Times New Roman" w:cs="Times New Roman"/>
          <w:sz w:val="24"/>
          <w:szCs w:val="24"/>
          <w:vertAlign w:val="superscript"/>
        </w:rPr>
        <w:t>2</w:t>
      </w:r>
      <w:r w:rsidRPr="00635B72">
        <w:rPr>
          <w:rFonts w:ascii="Times New Roman" w:eastAsia="Times New Roman" w:hAnsi="Times New Roman" w:cs="Times New Roman"/>
          <w:sz w:val="24"/>
          <w:szCs w:val="24"/>
        </w:rPr>
        <w:t xml:space="preserve">: 15.507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 xml:space="preserve">Since the calculated value is (36.798) &gt; table value (15.507) , we reject the null hypothesis.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Interpretation</w:t>
      </w:r>
      <w:r w:rsidRPr="00635B72">
        <w:rPr>
          <w:rFonts w:ascii="Times New Roman" w:eastAsia="Times New Roman" w:hAnsi="Times New Roman" w:cs="Times New Roman"/>
          <w:sz w:val="24"/>
          <w:szCs w:val="24"/>
        </w:rPr>
        <w:t>: There is a significant relationship between risk appetite and type of mutual fund preferred.</w:t>
      </w:r>
    </w:p>
    <w:p w:rsidR="00970E2A" w:rsidRPr="00635B72" w:rsidRDefault="00970E2A"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lastRenderedPageBreak/>
        <w:t>HYPOTHESIS FOR ANOVA</w:t>
      </w:r>
    </w:p>
    <w:p w:rsidR="00970E2A" w:rsidRPr="00635B72" w:rsidRDefault="00970E2A" w:rsidP="00970E2A">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b/>
          <w:bCs/>
          <w:sz w:val="24"/>
          <w:szCs w:val="24"/>
        </w:rPr>
        <w:t>Hypothesis IV</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H0: </w:t>
      </w:r>
      <w:r w:rsidRPr="00635B72">
        <w:rPr>
          <w:rFonts w:ascii="Times New Roman" w:eastAsia="Times New Roman" w:hAnsi="Times New Roman" w:cs="Times New Roman"/>
          <w:sz w:val="24"/>
          <w:szCs w:val="24"/>
        </w:rPr>
        <w:t>There is no significant difference in the influence of key factors on investment decisions.</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H1: </w:t>
      </w:r>
      <w:r w:rsidRPr="00635B72">
        <w:rPr>
          <w:rFonts w:ascii="Times New Roman" w:eastAsia="Times New Roman" w:hAnsi="Times New Roman" w:cs="Times New Roman"/>
          <w:sz w:val="24"/>
          <w:szCs w:val="24"/>
        </w:rPr>
        <w:t>There is a significant difference in the influence of key factors on investment decisions.</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t xml:space="preserve">TABLE NO:   </w:t>
      </w:r>
      <w:r w:rsidR="00C0528F" w:rsidRPr="00635B72">
        <w:rPr>
          <w:rFonts w:ascii="Times New Roman" w:eastAsia="Times New Roman" w:hAnsi="Times New Roman" w:cs="Times New Roman"/>
          <w:b/>
          <w:bCs/>
          <w:sz w:val="24"/>
          <w:szCs w:val="24"/>
        </w:rPr>
        <w:t>4.54</w:t>
      </w:r>
      <w:r w:rsidRPr="00635B72">
        <w:rPr>
          <w:rFonts w:ascii="Times New Roman" w:eastAsia="Times New Roman" w:hAnsi="Times New Roman" w:cs="Times New Roman"/>
          <w:b/>
          <w:bCs/>
          <w:sz w:val="24"/>
          <w:szCs w:val="24"/>
        </w:rPr>
        <w:t xml:space="preserve"> </w:t>
      </w:r>
    </w:p>
    <w:tbl>
      <w:tblPr>
        <w:tblStyle w:val="TableGrid"/>
        <w:tblW w:w="0" w:type="auto"/>
        <w:tblLook w:val="06A0" w:firstRow="1" w:lastRow="0" w:firstColumn="1" w:lastColumn="0" w:noHBand="1" w:noVBand="1"/>
      </w:tblPr>
      <w:tblGrid>
        <w:gridCol w:w="2175"/>
        <w:gridCol w:w="1350"/>
        <w:gridCol w:w="1110"/>
        <w:gridCol w:w="1275"/>
        <w:gridCol w:w="1302"/>
        <w:gridCol w:w="1443"/>
      </w:tblGrid>
      <w:tr w:rsidR="00970E2A" w:rsidRPr="00635B72" w:rsidTr="00635B72">
        <w:trPr>
          <w:trHeight w:val="915"/>
        </w:trPr>
        <w:tc>
          <w:tcPr>
            <w:tcW w:w="2175"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of variation</w:t>
            </w:r>
          </w:p>
        </w:tc>
        <w:tc>
          <w:tcPr>
            <w:tcW w:w="1350"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Sum of Squares</w:t>
            </w:r>
          </w:p>
        </w:tc>
        <w:tc>
          <w:tcPr>
            <w:tcW w:w="1110"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df</w:t>
            </w:r>
          </w:p>
        </w:tc>
        <w:tc>
          <w:tcPr>
            <w:tcW w:w="1275"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Mean Square</w:t>
            </w:r>
          </w:p>
        </w:tc>
        <w:tc>
          <w:tcPr>
            <w:tcW w:w="1302" w:type="dxa"/>
          </w:tcPr>
          <w:p w:rsidR="00970E2A" w:rsidRPr="00635B72" w:rsidRDefault="00970E2A" w:rsidP="00635B72">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sz w:val="24"/>
                <w:szCs w:val="24"/>
              </w:rPr>
              <w:t>F-statistic</w:t>
            </w:r>
          </w:p>
        </w:tc>
        <w:tc>
          <w:tcPr>
            <w:tcW w:w="1443"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P-value</w:t>
            </w:r>
          </w:p>
        </w:tc>
      </w:tr>
      <w:tr w:rsidR="00970E2A" w:rsidRPr="00635B72" w:rsidTr="00635B72">
        <w:trPr>
          <w:trHeight w:val="1650"/>
        </w:trPr>
        <w:tc>
          <w:tcPr>
            <w:tcW w:w="2175"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Between Groups</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Within Groups</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Total</w:t>
            </w:r>
          </w:p>
        </w:tc>
        <w:tc>
          <w:tcPr>
            <w:tcW w:w="1350"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572.547</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193.646</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766.193</w:t>
            </w:r>
          </w:p>
        </w:tc>
        <w:tc>
          <w:tcPr>
            <w:tcW w:w="1110"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4</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25</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sz w:val="24"/>
                <w:szCs w:val="24"/>
              </w:rPr>
              <w:t>29</w:t>
            </w:r>
          </w:p>
        </w:tc>
        <w:tc>
          <w:tcPr>
            <w:tcW w:w="1275"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143.137</w:t>
            </w: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p>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7.746</w:t>
            </w:r>
          </w:p>
        </w:tc>
        <w:tc>
          <w:tcPr>
            <w:tcW w:w="1302" w:type="dxa"/>
          </w:tcPr>
          <w:p w:rsidR="00970E2A" w:rsidRPr="00635B72" w:rsidRDefault="00970E2A" w:rsidP="00635B72">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18.48</w:t>
            </w:r>
          </w:p>
        </w:tc>
        <w:tc>
          <w:tcPr>
            <w:tcW w:w="1443" w:type="dxa"/>
          </w:tcPr>
          <w:p w:rsidR="00970E2A" w:rsidRPr="00635B72" w:rsidRDefault="00970E2A" w:rsidP="00635B72">
            <w:pPr>
              <w:spacing w:line="360" w:lineRule="auto"/>
              <w:rPr>
                <w:rFonts w:ascii="Times New Roman" w:eastAsia="Times New Roman" w:hAnsi="Times New Roman" w:cs="Times New Roman"/>
                <w:b/>
                <w:bCs/>
                <w:sz w:val="24"/>
                <w:szCs w:val="24"/>
              </w:rPr>
            </w:pPr>
            <w:r w:rsidRPr="00635B72">
              <w:rPr>
                <w:rFonts w:ascii="Times New Roman" w:eastAsia="Times New Roman" w:hAnsi="Times New Roman" w:cs="Times New Roman"/>
                <w:sz w:val="24"/>
                <w:szCs w:val="24"/>
              </w:rPr>
              <w:t>0.000</w:t>
            </w:r>
          </w:p>
        </w:tc>
      </w:tr>
    </w:tbl>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Source: Primary data</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At 5% level of significance</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Degree of freedom = 29</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P value = 0.000</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b/>
          <w:bCs/>
          <w:sz w:val="24"/>
          <w:szCs w:val="24"/>
        </w:rPr>
        <w:lastRenderedPageBreak/>
        <w:t xml:space="preserve">Interpretation: </w:t>
      </w:r>
      <w:r w:rsidRPr="00635B72">
        <w:rPr>
          <w:rFonts w:ascii="Times New Roman" w:eastAsia="Times New Roman" w:hAnsi="Times New Roman" w:cs="Times New Roman"/>
          <w:sz w:val="24"/>
          <w:szCs w:val="24"/>
        </w:rPr>
        <w:t xml:space="preserve">The ANOVA results show a significant difference in the influence of key factors on investment decisions. The F-value is 18.48 and the p-value is 0.000 (p &lt; 0.05). Since the significance value is less than 0.05, the null hypothesis is rejected. </w:t>
      </w:r>
    </w:p>
    <w:p w:rsidR="00970E2A" w:rsidRPr="00635B72" w:rsidRDefault="00970E2A" w:rsidP="00970E2A">
      <w:pPr>
        <w:spacing w:line="360" w:lineRule="auto"/>
        <w:rPr>
          <w:rFonts w:ascii="Times New Roman" w:eastAsia="Times New Roman" w:hAnsi="Times New Roman" w:cs="Times New Roman"/>
          <w:sz w:val="24"/>
          <w:szCs w:val="24"/>
        </w:rPr>
      </w:pPr>
      <w:r w:rsidRPr="00635B72">
        <w:rPr>
          <w:rFonts w:ascii="Times New Roman" w:eastAsia="Times New Roman" w:hAnsi="Times New Roman" w:cs="Times New Roman"/>
          <w:sz w:val="24"/>
          <w:szCs w:val="24"/>
        </w:rPr>
        <w:t>Therefore, there is a significant difference in the influence of key factors on investment decisions.</w:t>
      </w:r>
    </w:p>
    <w:p w:rsidR="00970E2A" w:rsidRPr="00635B72" w:rsidRDefault="00970E2A" w:rsidP="00970E2A">
      <w:pPr>
        <w:spacing w:line="360" w:lineRule="auto"/>
        <w:rPr>
          <w:rFonts w:ascii="Times New Roman" w:eastAsia="Times New Roman" w:hAnsi="Times New Roman" w:cs="Times New Roman"/>
          <w:sz w:val="24"/>
          <w:szCs w:val="24"/>
        </w:rPr>
      </w:pPr>
    </w:p>
    <w:p w:rsidR="00970E2A" w:rsidRPr="00635B72" w:rsidRDefault="00970E2A"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C0528F" w:rsidRPr="00635B72" w:rsidRDefault="00C0528F" w:rsidP="00970E2A">
      <w:pPr>
        <w:spacing w:line="360" w:lineRule="auto"/>
        <w:rPr>
          <w:rFonts w:ascii="Times New Roman" w:eastAsia="Times New Roman" w:hAnsi="Times New Roman" w:cs="Times New Roman"/>
          <w:sz w:val="24"/>
          <w:szCs w:val="24"/>
        </w:rPr>
      </w:pPr>
    </w:p>
    <w:p w:rsidR="00970E2A" w:rsidRPr="00635B72" w:rsidRDefault="00970E2A" w:rsidP="00275966">
      <w:pPr>
        <w:pStyle w:val="NoSpacing"/>
        <w:spacing w:before="240" w:after="200" w:line="360" w:lineRule="auto"/>
        <w:jc w:val="both"/>
        <w:rPr>
          <w:rFonts w:ascii="Times New Roman" w:hAnsi="Times New Roman" w:cs="Times New Roman"/>
          <w:b/>
          <w:bCs/>
          <w:sz w:val="28"/>
          <w:szCs w:val="28"/>
        </w:rPr>
      </w:pPr>
    </w:p>
    <w:p w:rsidR="006A32E8" w:rsidRPr="00635B72" w:rsidRDefault="00275966" w:rsidP="00275966">
      <w:pPr>
        <w:pStyle w:val="NoSpacing"/>
        <w:spacing w:before="240" w:after="200" w:line="360" w:lineRule="auto"/>
        <w:jc w:val="both"/>
        <w:rPr>
          <w:rFonts w:ascii="Times New Roman" w:hAnsi="Times New Roman" w:cs="Times New Roman"/>
          <w:b/>
          <w:bCs/>
          <w:sz w:val="28"/>
          <w:szCs w:val="28"/>
        </w:rPr>
      </w:pPr>
      <w:r w:rsidRPr="00635B72">
        <w:rPr>
          <w:rFonts w:ascii="Times New Roman" w:hAnsi="Times New Roman" w:cs="Times New Roman"/>
          <w:b/>
          <w:bCs/>
          <w:sz w:val="28"/>
          <w:szCs w:val="28"/>
        </w:rPr>
        <w:lastRenderedPageBreak/>
        <w:t>5.1 FINDINGS</w:t>
      </w:r>
      <w:r w:rsidR="006A32E8" w:rsidRPr="00635B72">
        <w:rPr>
          <w:rFonts w:ascii="Times New Roman" w:hAnsi="Times New Roman" w:cs="Times New Roman"/>
          <w:b/>
          <w:bCs/>
          <w:sz w:val="28"/>
          <w:szCs w:val="28"/>
        </w:rPr>
        <w:t xml:space="preserve"> </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reveals that the largest group of respondents, 30.00%, comes under the age category of upto 30 years.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gender-wise classification indicates that 56.00% of the respondents are male.</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observed that 48.00% of the respondents have completed graduation.</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occupational status of the respondents shows that 45.00% are salaried employees.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income profile of the respondents indicates that 36.00% earn a monthly income between ₹25,001 and ₹50,000.</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marital status of the respondents shows that 58.00% are married.</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46.00% of the respondents have annual savings between ₹50,001 and ₹1,00,000.</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investment experience of the respondents shows that 42.00% have been investing in mutual funds for a period of 1–3 years.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indicates that 52.00% of the respondents prefer SIP as their usual mode of mutual fund investment.</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identified that 38.00% of the respondents invest below ₹5,000 per month in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preferred investment period shows that 34.00% of the respondents prefer to invest for 3–5 years.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noted that 38.00% of the respondents review their mutual fund investments on a quarterly basis.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shows that 62.00% of the respondents make regular investments in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lastRenderedPageBreak/>
        <w:t>It is observed that 55.00% of the respondents diversify their investments across different schemes.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preference for mutual fund type shows that 38.00% of the respondents prefer equity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risk preference of the respondents indicates that 58.00% prefer a moderate level of risk.</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36.00% of the respondents invest in mutual funds mainly for wealth creation.</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investment channel preferred by respondents shows that 42.00% invest through online platforms.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reveals that 35.00% of the respondents make investment decisions on their own.</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identified that 62.00% of the respondents prefer the growth option for returns.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withdrawal preference shows that 38.00% of the respondents prefer a systematic withdrawal plan.</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34.00% of the respondents consider return as the major factor influencing their investment decisions.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indicates that 42.00% of the respondents are influenced by advisor suggestions while making investment decisions.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observed that 48.00% of the respondents consider safety as a very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analysis shows that 36.00% of the respondents consider tax benefit as very important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38.00% of the respondents consider liquidity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lastRenderedPageBreak/>
        <w:t>The study reveals that 46.00% of the respondents consider past returns as very important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observed that 36.00% of the respondents consider diversification benefit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analysis indicates that 40.00% of the respondents consider professional fund management as very important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noted that 37.00% of the respondents consider regular savings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shows that 38.00% of the respondents consider transparency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identified that 36.00% of the respondents consider charges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analysis reveals that 38.00% of the respondents consider convenience as an important factor while selecting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52.00% of the respondents consider bank deposits as the safest investment option.</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indicates that 30.00% of the respondents are discouraged from investing in mutual funds due to lack of knowledge.</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observed that 42.00% of the respondents agree that mutual funds provide better returns than traditional investments.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analysis shows that 48.00% of the respondents strongly agree that SIP is a convenient method of investing.</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40.00% of the respondents strongly agree that risk level affects their investment decisions.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indicates that 40.00% of the respondents agree that mutual funds are less risky than direct equity investment.</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lastRenderedPageBreak/>
        <w:t>It is observed that 42.00% of the respondents agree that mutual funds provide access to a wide range of investment options.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analysis reveals that 42.00% of the respondents strongly agree that professional fund management increases their confidence in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It is found that 44.00% of the respondents strongly agree that they intend to continue investing in mutual funds in future.</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 study shows that 40.00% of the respondents agree that they will encourage friends, family members, or colleagues to invest in mutual funds.</w:t>
      </w:r>
    </w:p>
    <w:p w:rsidR="007C7CF3" w:rsidRPr="00635B72" w:rsidRDefault="007C7CF3" w:rsidP="007C7CF3">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Finally, it is observed that 64.00% of the respondents prefer mutual funds over other investment avenues in future.</w:t>
      </w:r>
    </w:p>
    <w:p w:rsidR="00427CF4" w:rsidRPr="00635B72" w:rsidRDefault="00427CF4" w:rsidP="00427CF4">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There is no significant relationship between age and investment behaviour.</w:t>
      </w:r>
    </w:p>
    <w:p w:rsidR="00427CF4" w:rsidRPr="00635B72" w:rsidRDefault="00427CF4" w:rsidP="00427CF4">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There is a significant relationship between income level and amount invested in mutual funds</w:t>
      </w:r>
    </w:p>
    <w:p w:rsidR="00427CF4" w:rsidRPr="00635B72" w:rsidRDefault="00427CF4" w:rsidP="00427CF4">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There is a significant relationship between risk appetite and type of mutual fund preferred.</w:t>
      </w:r>
    </w:p>
    <w:p w:rsidR="00427CF4" w:rsidRPr="00635B72" w:rsidRDefault="00427CF4" w:rsidP="00427CF4">
      <w:pPr>
        <w:pStyle w:val="NoSpacing"/>
        <w:numPr>
          <w:ilvl w:val="0"/>
          <w:numId w:val="15"/>
        </w:numPr>
        <w:spacing w:before="240" w:line="360" w:lineRule="auto"/>
        <w:rPr>
          <w:rFonts w:ascii="Times New Roman" w:hAnsi="Times New Roman" w:cs="Times New Roman"/>
          <w:bCs/>
          <w:color w:val="000000" w:themeColor="text1"/>
          <w:sz w:val="24"/>
        </w:rPr>
      </w:pPr>
      <w:r w:rsidRPr="00635B72">
        <w:rPr>
          <w:rFonts w:ascii="Times New Roman" w:hAnsi="Times New Roman" w:cs="Times New Roman"/>
          <w:bCs/>
          <w:color w:val="000000" w:themeColor="text1"/>
          <w:sz w:val="24"/>
        </w:rPr>
        <w:t>There is a significant difference in the influence of key factors on investment decisions.</w:t>
      </w:r>
    </w:p>
    <w:p w:rsidR="007E63D8" w:rsidRPr="00635B72" w:rsidRDefault="007E63D8" w:rsidP="00275966">
      <w:pPr>
        <w:pStyle w:val="NoSpacing"/>
        <w:spacing w:before="240" w:after="200" w:line="360" w:lineRule="auto"/>
        <w:rPr>
          <w:rFonts w:ascii="Times New Roman" w:hAnsi="Times New Roman" w:cs="Times New Roman"/>
          <w:bCs/>
          <w:color w:val="000000" w:themeColor="text1"/>
          <w:sz w:val="24"/>
        </w:rPr>
      </w:pPr>
    </w:p>
    <w:p w:rsidR="007E63D8" w:rsidRPr="00635B72" w:rsidRDefault="007E63D8" w:rsidP="00275966">
      <w:pPr>
        <w:pStyle w:val="NoSpacing"/>
        <w:spacing w:before="240" w:after="200" w:line="360" w:lineRule="auto"/>
        <w:jc w:val="center"/>
        <w:rPr>
          <w:rFonts w:ascii="Times New Roman" w:hAnsi="Times New Roman" w:cs="Times New Roman"/>
          <w:b/>
          <w:bCs/>
          <w:sz w:val="24"/>
          <w:szCs w:val="24"/>
        </w:rPr>
      </w:pPr>
    </w:p>
    <w:p w:rsidR="009D6175" w:rsidRPr="00635B72" w:rsidRDefault="009D6175" w:rsidP="00275966">
      <w:pPr>
        <w:spacing w:before="240" w:line="360" w:lineRule="auto"/>
        <w:jc w:val="both"/>
        <w:rPr>
          <w:rFonts w:ascii="Times New Roman" w:hAnsi="Times New Roman" w:cs="Times New Roman"/>
          <w:sz w:val="24"/>
          <w:szCs w:val="24"/>
        </w:rPr>
      </w:pPr>
    </w:p>
    <w:p w:rsidR="009D6175" w:rsidRPr="00635B72" w:rsidRDefault="009D6175" w:rsidP="00275966">
      <w:pPr>
        <w:spacing w:before="240" w:line="360" w:lineRule="auto"/>
        <w:jc w:val="both"/>
        <w:rPr>
          <w:rFonts w:ascii="Times New Roman" w:hAnsi="Times New Roman" w:cs="Times New Roman"/>
          <w:sz w:val="24"/>
          <w:szCs w:val="24"/>
        </w:rPr>
      </w:pPr>
    </w:p>
    <w:p w:rsidR="009D6175" w:rsidRPr="00635B72" w:rsidRDefault="009D6175" w:rsidP="00275966">
      <w:pPr>
        <w:spacing w:before="240" w:line="360" w:lineRule="auto"/>
        <w:jc w:val="both"/>
        <w:rPr>
          <w:rFonts w:ascii="Times New Roman" w:hAnsi="Times New Roman" w:cs="Times New Roman"/>
          <w:sz w:val="24"/>
          <w:szCs w:val="24"/>
        </w:rPr>
      </w:pPr>
    </w:p>
    <w:p w:rsidR="009D6175" w:rsidRPr="00635B72" w:rsidRDefault="009D6175" w:rsidP="00275966">
      <w:pPr>
        <w:spacing w:before="240" w:line="360" w:lineRule="auto"/>
        <w:jc w:val="both"/>
        <w:rPr>
          <w:rFonts w:ascii="Times New Roman" w:hAnsi="Times New Roman" w:cs="Times New Roman"/>
          <w:sz w:val="24"/>
          <w:szCs w:val="24"/>
        </w:rPr>
      </w:pPr>
    </w:p>
    <w:p w:rsidR="009D6175" w:rsidRPr="00635B72" w:rsidRDefault="009D6175" w:rsidP="00275966">
      <w:pPr>
        <w:spacing w:before="240" w:line="360" w:lineRule="auto"/>
        <w:jc w:val="both"/>
        <w:rPr>
          <w:rFonts w:ascii="Times New Roman" w:hAnsi="Times New Roman" w:cs="Times New Roman"/>
          <w:sz w:val="24"/>
          <w:szCs w:val="24"/>
        </w:rPr>
      </w:pPr>
    </w:p>
    <w:p w:rsidR="00D806AD" w:rsidRPr="00635B72" w:rsidRDefault="00FC3525" w:rsidP="00275966">
      <w:pPr>
        <w:tabs>
          <w:tab w:val="left" w:pos="3912"/>
        </w:tabs>
        <w:spacing w:before="240" w:line="360" w:lineRule="auto"/>
        <w:rPr>
          <w:rFonts w:ascii="Times New Roman" w:hAnsi="Times New Roman" w:cs="Times New Roman"/>
          <w:b/>
          <w:bCs/>
          <w:sz w:val="28"/>
          <w:szCs w:val="28"/>
          <w:lang w:val="en-IN"/>
        </w:rPr>
      </w:pPr>
      <w:r w:rsidRPr="00635B72">
        <w:rPr>
          <w:rFonts w:ascii="Times New Roman" w:hAnsi="Times New Roman" w:cs="Times New Roman"/>
          <w:b/>
          <w:bCs/>
          <w:sz w:val="28"/>
          <w:szCs w:val="28"/>
          <w:lang w:val="en-IN"/>
        </w:rPr>
        <w:lastRenderedPageBreak/>
        <w:t xml:space="preserve">5.2 </w:t>
      </w:r>
      <w:r w:rsidR="00281440" w:rsidRPr="00635B72">
        <w:rPr>
          <w:rFonts w:ascii="Times New Roman" w:hAnsi="Times New Roman" w:cs="Times New Roman"/>
          <w:b/>
          <w:bCs/>
          <w:sz w:val="28"/>
          <w:szCs w:val="28"/>
          <w:lang w:val="en-IN"/>
        </w:rPr>
        <w:t xml:space="preserve">RECOMMENDATION </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Geojit Financial Services should conduct regular investor awareness programmes to improve knowledge about mutual funds.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The company should provide proper guidance to investors based on their risk profile and financial goals.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Investors should be encouraged to invest through SIP for regular and disciplined savings.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Geojit should provide simple educational materials about NAV, SIP, risk, return, and fund categories.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Advisory services should be strengthened to help investors select suitable mutual fund schemes.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Regular portfolio review facilities should be provided to investors to monitor fund performance.</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Investors should be motivated to follow a long-term investment approach for better wealth creation.</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Digital platforms and mobile applications should be made more user-friendly for easy transactions.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Investors should be clearly informed about the risk and return involved in different mutual fund schemes.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Goal-based investment plans should be suggested for retirement, tax saving, children’s education, and wealth creation.</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Regular updates about fund performance, NAV, and market changes should be communicated to investors.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Special guidance should be given to first-time mutual fund investors.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Investors should be advised to diversify their investments across different schemes.</w:t>
      </w:r>
    </w:p>
    <w:p w:rsidR="007A3867"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Investors should depend on professional advice instead of relying only on friends, relatives, or advertisements.</w:t>
      </w:r>
    </w:p>
    <w:p w:rsidR="006E0490" w:rsidRPr="00635B72" w:rsidRDefault="007A3867" w:rsidP="00275966">
      <w:pPr>
        <w:pStyle w:val="ListParagraph"/>
        <w:numPr>
          <w:ilvl w:val="0"/>
          <w:numId w:val="12"/>
        </w:numPr>
        <w:tabs>
          <w:tab w:val="left" w:pos="3912"/>
        </w:tabs>
        <w:spacing w:before="240" w:line="360" w:lineRule="auto"/>
        <w:ind w:left="851"/>
        <w:rPr>
          <w:rFonts w:ascii="Times New Roman" w:hAnsi="Times New Roman" w:cs="Times New Roman"/>
          <w:sz w:val="24"/>
          <w:szCs w:val="24"/>
          <w:lang w:val="en-IN"/>
        </w:rPr>
      </w:pPr>
      <w:r w:rsidRPr="00635B72">
        <w:rPr>
          <w:rFonts w:ascii="Times New Roman" w:hAnsi="Times New Roman" w:cs="Times New Roman"/>
          <w:sz w:val="24"/>
          <w:szCs w:val="24"/>
          <w:lang w:val="en-IN"/>
        </w:rPr>
        <w:t>Customer service should be improved through quick response, proper support, and timely complaint handling.</w:t>
      </w:r>
    </w:p>
    <w:p w:rsidR="009F52EB" w:rsidRPr="00635B72" w:rsidRDefault="009F52EB" w:rsidP="00275966">
      <w:pPr>
        <w:tabs>
          <w:tab w:val="left" w:pos="3912"/>
        </w:tabs>
        <w:spacing w:before="240" w:line="360" w:lineRule="auto"/>
        <w:rPr>
          <w:rFonts w:ascii="Times New Roman" w:hAnsi="Times New Roman" w:cs="Times New Roman"/>
          <w:sz w:val="24"/>
          <w:szCs w:val="24"/>
          <w:lang w:val="en-IN"/>
        </w:rPr>
      </w:pPr>
    </w:p>
    <w:p w:rsidR="00D806AD" w:rsidRPr="00635B72" w:rsidRDefault="00FC3525" w:rsidP="00275966">
      <w:pPr>
        <w:tabs>
          <w:tab w:val="left" w:pos="3912"/>
        </w:tabs>
        <w:spacing w:before="240" w:line="360" w:lineRule="auto"/>
        <w:rPr>
          <w:rFonts w:ascii="Times New Roman" w:hAnsi="Times New Roman" w:cs="Times New Roman"/>
          <w:b/>
          <w:bCs/>
          <w:sz w:val="28"/>
          <w:szCs w:val="28"/>
          <w:lang w:val="en-IN"/>
        </w:rPr>
      </w:pPr>
      <w:r w:rsidRPr="00635B72">
        <w:rPr>
          <w:rFonts w:ascii="Times New Roman" w:hAnsi="Times New Roman" w:cs="Times New Roman"/>
          <w:b/>
          <w:bCs/>
          <w:sz w:val="28"/>
          <w:szCs w:val="28"/>
          <w:lang w:val="en-IN"/>
        </w:rPr>
        <w:lastRenderedPageBreak/>
        <w:t xml:space="preserve">5.3 </w:t>
      </w:r>
      <w:r w:rsidR="00D806AD" w:rsidRPr="00635B72">
        <w:rPr>
          <w:rFonts w:ascii="Times New Roman" w:hAnsi="Times New Roman" w:cs="Times New Roman"/>
          <w:b/>
          <w:bCs/>
          <w:sz w:val="28"/>
          <w:szCs w:val="28"/>
          <w:lang w:val="en-IN"/>
        </w:rPr>
        <w:t>CONCLUSION</w:t>
      </w:r>
    </w:p>
    <w:p w:rsidR="007A3867" w:rsidRPr="00635B72" w:rsidRDefault="007A3867" w:rsidP="00275966">
      <w:pPr>
        <w:tabs>
          <w:tab w:val="left" w:pos="3912"/>
        </w:tabs>
        <w:spacing w:before="240" w:line="360" w:lineRule="auto"/>
        <w:jc w:val="both"/>
        <w:rPr>
          <w:rFonts w:ascii="Times New Roman" w:hAnsi="Times New Roman" w:cs="Times New Roman"/>
          <w:sz w:val="24"/>
          <w:szCs w:val="24"/>
          <w:lang w:val="en-IN"/>
        </w:rPr>
      </w:pPr>
      <w:r w:rsidRPr="00635B72">
        <w:rPr>
          <w:rFonts w:ascii="Times New Roman" w:hAnsi="Times New Roman" w:cs="Times New Roman"/>
          <w:sz w:val="24"/>
          <w:szCs w:val="24"/>
          <w:lang w:val="en-IN"/>
        </w:rPr>
        <w:t>The study on “Investment Behaviour of Mutual Fund Investors with Reference to Geojit Financial Services Ltd” shows that mutual funds are becoming an important investment avenue among investors due to benefits such as professional fund management, diversification, liquidity, tax benefits, and the possibility of better returns. The study helps to understand the awareness level, investment preference, risk perception, investment objectives, and factors influencing the decision-making pattern of mutual fund investors. It also shows that investors consider factors such as return, safety, liquidity, past performance, advisor suggestion, and risk level while selecting mutual fund schemes.</w:t>
      </w:r>
    </w:p>
    <w:p w:rsidR="002D5CBB" w:rsidRPr="00635B72" w:rsidRDefault="007A3867" w:rsidP="00275966">
      <w:pPr>
        <w:tabs>
          <w:tab w:val="left" w:pos="3912"/>
        </w:tabs>
        <w:spacing w:before="240" w:line="360" w:lineRule="auto"/>
        <w:jc w:val="both"/>
        <w:rPr>
          <w:rFonts w:ascii="Times New Roman" w:hAnsi="Times New Roman" w:cs="Times New Roman"/>
          <w:sz w:val="24"/>
          <w:szCs w:val="24"/>
          <w:lang w:val="en-IN"/>
        </w:rPr>
      </w:pPr>
      <w:r w:rsidRPr="00635B72">
        <w:rPr>
          <w:rFonts w:ascii="Times New Roman" w:hAnsi="Times New Roman" w:cs="Times New Roman"/>
          <w:sz w:val="24"/>
          <w:szCs w:val="24"/>
          <w:lang w:val="en-IN"/>
        </w:rPr>
        <w:t>Geojit Financial Services Ltd plays an important role in guiding investors by providing mutual fund advisory services, investment support, digital facilities, and market-related information. The study concludes that proper investor awareness, professional guidance, regular portfolio review, and improved customer service can increase investor confidence and satisfaction. Mutual fund investors should make investment decisions based on their financial goals, risk capacity, and investment period. Therefore, with better awareness and suitable advisory support, mutual funds can become an effective investment option for long-term wealth creation and financial security.</w:t>
      </w: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Default="00275966" w:rsidP="00275966">
      <w:pPr>
        <w:tabs>
          <w:tab w:val="left" w:pos="3912"/>
        </w:tabs>
        <w:spacing w:before="240" w:line="360" w:lineRule="auto"/>
        <w:jc w:val="both"/>
        <w:rPr>
          <w:rFonts w:ascii="Times New Roman" w:hAnsi="Times New Roman" w:cs="Times New Roman"/>
          <w:sz w:val="24"/>
          <w:szCs w:val="24"/>
          <w:lang w:val="en-IN"/>
        </w:rPr>
      </w:pPr>
    </w:p>
    <w:p w:rsidR="00CD6B4D" w:rsidRDefault="00CD6B4D" w:rsidP="00275966">
      <w:pPr>
        <w:tabs>
          <w:tab w:val="left" w:pos="3912"/>
        </w:tabs>
        <w:spacing w:before="240" w:line="360" w:lineRule="auto"/>
        <w:jc w:val="both"/>
        <w:rPr>
          <w:rFonts w:ascii="Times New Roman" w:hAnsi="Times New Roman" w:cs="Times New Roman"/>
          <w:sz w:val="24"/>
          <w:szCs w:val="24"/>
          <w:lang w:val="en-IN"/>
        </w:rPr>
      </w:pPr>
    </w:p>
    <w:p w:rsidR="00CD6B4D" w:rsidRDefault="00CD6B4D" w:rsidP="00275966">
      <w:pPr>
        <w:tabs>
          <w:tab w:val="left" w:pos="3912"/>
        </w:tabs>
        <w:spacing w:before="240" w:line="360" w:lineRule="auto"/>
        <w:jc w:val="both"/>
        <w:rPr>
          <w:rFonts w:ascii="Times New Roman" w:hAnsi="Times New Roman" w:cs="Times New Roman"/>
          <w:sz w:val="24"/>
          <w:szCs w:val="24"/>
          <w:lang w:val="en-IN"/>
        </w:rPr>
      </w:pPr>
    </w:p>
    <w:p w:rsidR="00CD6B4D" w:rsidRPr="00157D51" w:rsidRDefault="00CD6B4D" w:rsidP="00CD6B4D">
      <w:pPr>
        <w:tabs>
          <w:tab w:val="left" w:pos="3912"/>
        </w:tabs>
        <w:spacing w:before="240" w:line="360" w:lineRule="auto"/>
        <w:jc w:val="center"/>
        <w:rPr>
          <w:rFonts w:ascii="Times New Roman" w:hAnsi="Times New Roman" w:cs="Times New Roman"/>
          <w:b/>
          <w:bCs/>
          <w:sz w:val="24"/>
          <w:szCs w:val="24"/>
          <w:lang w:val="en-IN"/>
        </w:rPr>
      </w:pPr>
      <w:r w:rsidRPr="00157D51">
        <w:rPr>
          <w:rFonts w:ascii="Times New Roman" w:hAnsi="Times New Roman" w:cs="Times New Roman"/>
          <w:b/>
          <w:bCs/>
          <w:sz w:val="24"/>
          <w:szCs w:val="24"/>
          <w:lang w:val="en-IN"/>
        </w:rPr>
        <w:lastRenderedPageBreak/>
        <w:t>BIBLIOGRAPHY</w:t>
      </w:r>
    </w:p>
    <w:p w:rsidR="00CD6B4D" w:rsidRDefault="00CD6B4D" w:rsidP="00CD6B4D">
      <w:pPr>
        <w:tabs>
          <w:tab w:val="left" w:pos="3912"/>
        </w:tabs>
        <w:spacing w:before="240" w:line="360" w:lineRule="auto"/>
        <w:rPr>
          <w:rFonts w:ascii="Times New Roman" w:hAnsi="Times New Roman" w:cs="Times New Roman"/>
          <w:b/>
          <w:bCs/>
          <w:sz w:val="24"/>
          <w:szCs w:val="24"/>
          <w:lang w:val="en-IN"/>
        </w:rPr>
      </w:pPr>
      <w:r>
        <w:rPr>
          <w:rFonts w:ascii="Times New Roman" w:hAnsi="Times New Roman" w:cs="Times New Roman"/>
          <w:b/>
          <w:bCs/>
          <w:sz w:val="24"/>
          <w:szCs w:val="24"/>
          <w:lang w:val="en-IN"/>
        </w:rPr>
        <w:t>JOURNALS: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Gupta, L. C. (2000). Investment preferences of individual investors.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Rajeswari, T. R., &amp; Moorthy, V. E. (2001). An analysis of investors’ attitude towards mutual funds.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Madhusudhan, V., &amp; Reddy, C. S. (2002). Investor perception towards mutual fund schemes.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Singh, Y. P., &amp; Vanita. (2002). Mutual fund investors: A study of investment decisions.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Jambodekar, M. V. (2003). Investment pattern of mutual fund investors.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Saini, S., Anjum, B., &amp; Saini, R. (2004). Investor awareness and preference towards mutual funds.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Shanmugham, R. (2005). Behavioural aspects of individual investors.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Desigan, G., Kalaiselvi, S., &amp; Anusuya, L. (2006). Women investors’ perception towards investment.</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Kumar, R., &amp; Rajkumar, S. (2007). Investors’ attitude towards mutual funds.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Chandra, A. (2008). Behavioural finance aspects of investment decision-making.</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Sharma, N., &amp; Jain, R. (2009). Awareness level of investors regarding mutual funds.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Parihar, B. B. S., Sharma, R., &amp; Parihar, D. S. (2009). Consumer behaviour towards mutual funds.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Kaur, I., &amp; Kaushik, K. P. (2010). Determinants of investment behaviour of mutual fund investors.</w:t>
      </w:r>
    </w:p>
    <w:p w:rsidR="00CD6B4D" w:rsidRPr="009B55DC"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9B55DC">
        <w:rPr>
          <w:rFonts w:ascii="Times New Roman" w:hAnsi="Times New Roman" w:cs="Times New Roman"/>
          <w:kern w:val="2"/>
          <w:sz w:val="24"/>
          <w:szCs w:val="24"/>
          <w:lang w:val="en-IN"/>
          <w14:ligatures w14:val="standardContextual"/>
        </w:rPr>
        <w:t>Walia, N., &amp; Kiran, R. (2011). Investor perception towards mutual funds.</w:t>
      </w:r>
    </w:p>
    <w:p w:rsidR="00CD6B4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Subramanya, P. R., &amp; Murthy, T. P. (2013). Investor behaviour towards mutual funds.</w:t>
      </w:r>
    </w:p>
    <w:p w:rsidR="00CD6B4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Singh, A. (2014). Role of financial literacy in mutual fund investment decisions.</w:t>
      </w:r>
    </w:p>
    <w:p w:rsidR="00CD6B4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Ranganathan, K. (2015). Investment behaviour of retail investors in mutual funds.</w:t>
      </w:r>
    </w:p>
    <w:p w:rsidR="00CD6B4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Patel, J., &amp; Prajapati, K. (2016). Awareness and perception of investors towards mutual funds.</w:t>
      </w:r>
    </w:p>
    <w:p w:rsidR="00CD6B4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Agarwal, S., &amp; Jain, M. (2017). Factors influencing mutual fund investment decisions.</w:t>
      </w:r>
    </w:p>
    <w:p w:rsidR="00CD6B4D" w:rsidRPr="005D4B7D" w:rsidRDefault="00CD6B4D" w:rsidP="00CD6B4D">
      <w:pPr>
        <w:pStyle w:val="ListParagraph"/>
        <w:numPr>
          <w:ilvl w:val="0"/>
          <w:numId w:val="27"/>
        </w:numPr>
        <w:tabs>
          <w:tab w:val="left" w:pos="3912"/>
        </w:tabs>
        <w:spacing w:before="240" w:line="360" w:lineRule="auto"/>
        <w:ind w:left="567"/>
        <w:rPr>
          <w:rFonts w:ascii="Times New Roman" w:hAnsi="Times New Roman" w:cs="Times New Roman"/>
          <w:kern w:val="2"/>
          <w:sz w:val="24"/>
          <w:szCs w:val="24"/>
          <w:lang w:val="en-IN"/>
          <w14:ligatures w14:val="standardContextual"/>
        </w:rPr>
      </w:pPr>
      <w:r w:rsidRPr="005D4B7D">
        <w:rPr>
          <w:rFonts w:ascii="Times New Roman" w:hAnsi="Times New Roman" w:cs="Times New Roman"/>
          <w:kern w:val="2"/>
          <w:sz w:val="24"/>
          <w:szCs w:val="24"/>
          <w:lang w:val="en-IN"/>
          <w14:ligatures w14:val="standardContextual"/>
        </w:rPr>
        <w:t>Kaur, R., &amp; Vohra, T. (2018). Behaviour of mutual fund investors.</w:t>
      </w:r>
    </w:p>
    <w:p w:rsidR="00CD6B4D" w:rsidRPr="00C06598" w:rsidRDefault="00CD6B4D" w:rsidP="00CD6B4D">
      <w:pPr>
        <w:pStyle w:val="Heading3"/>
        <w:numPr>
          <w:ilvl w:val="0"/>
          <w:numId w:val="27"/>
        </w:numPr>
        <w:spacing w:before="240" w:line="360" w:lineRule="auto"/>
        <w:ind w:left="567"/>
        <w:rPr>
          <w:rFonts w:ascii="Times New Roman" w:eastAsiaTheme="minorHAnsi" w:hAnsi="Times New Roman" w:cs="Times New Roman"/>
          <w:color w:val="auto"/>
          <w:kern w:val="2"/>
          <w:sz w:val="24"/>
          <w:szCs w:val="24"/>
          <w:lang w:val="en-IN"/>
          <w14:ligatures w14:val="standardContextual"/>
        </w:rPr>
      </w:pPr>
      <w:r w:rsidRPr="00C06598">
        <w:rPr>
          <w:rFonts w:ascii="Times New Roman" w:eastAsiaTheme="minorHAnsi" w:hAnsi="Times New Roman" w:cs="Times New Roman"/>
          <w:color w:val="auto"/>
          <w:kern w:val="2"/>
          <w:sz w:val="24"/>
          <w:szCs w:val="24"/>
          <w:lang w:val="en-IN"/>
          <w14:ligatures w14:val="standardContextual"/>
        </w:rPr>
        <w:lastRenderedPageBreak/>
        <w:t>Bansal, R., &amp; Sharma, P. (2019). Investor satisfaction towards mutual fund services.</w:t>
      </w:r>
    </w:p>
    <w:p w:rsidR="00CD6B4D" w:rsidRPr="00C06598" w:rsidRDefault="00CD6B4D" w:rsidP="00CD6B4D">
      <w:pPr>
        <w:pStyle w:val="Heading3"/>
        <w:numPr>
          <w:ilvl w:val="0"/>
          <w:numId w:val="27"/>
        </w:numPr>
        <w:spacing w:before="240" w:line="360" w:lineRule="auto"/>
        <w:ind w:left="567"/>
        <w:rPr>
          <w:rFonts w:ascii="Times New Roman" w:eastAsiaTheme="minorHAnsi" w:hAnsi="Times New Roman" w:cs="Times New Roman"/>
          <w:color w:val="auto"/>
          <w:kern w:val="2"/>
          <w:sz w:val="24"/>
          <w:szCs w:val="24"/>
          <w:lang w:val="en-IN"/>
          <w14:ligatures w14:val="standardContextual"/>
        </w:rPr>
      </w:pPr>
      <w:r w:rsidRPr="00C06598">
        <w:rPr>
          <w:rFonts w:ascii="Times New Roman" w:eastAsiaTheme="minorHAnsi" w:hAnsi="Times New Roman" w:cs="Times New Roman"/>
          <w:color w:val="auto"/>
          <w:kern w:val="2"/>
          <w:sz w:val="24"/>
          <w:szCs w:val="24"/>
          <w:lang w:val="en-IN"/>
          <w14:ligatures w14:val="standardContextual"/>
        </w:rPr>
        <w:t>Rao, S., &amp; Kumar, P. (2020). Impact of digital platforms on mutual fund investment behaviour.</w:t>
      </w:r>
    </w:p>
    <w:p w:rsidR="00CD6B4D" w:rsidRPr="00C06598" w:rsidRDefault="00CD6B4D" w:rsidP="00CD6B4D">
      <w:pPr>
        <w:pStyle w:val="Heading3"/>
        <w:numPr>
          <w:ilvl w:val="0"/>
          <w:numId w:val="27"/>
        </w:numPr>
        <w:spacing w:before="240" w:line="360" w:lineRule="auto"/>
        <w:ind w:left="567"/>
        <w:rPr>
          <w:rFonts w:ascii="Times New Roman" w:eastAsiaTheme="minorHAnsi" w:hAnsi="Times New Roman" w:cs="Times New Roman"/>
          <w:color w:val="auto"/>
          <w:kern w:val="2"/>
          <w:sz w:val="24"/>
          <w:szCs w:val="24"/>
          <w:lang w:val="en-IN"/>
          <w14:ligatures w14:val="standardContextual"/>
        </w:rPr>
      </w:pPr>
      <w:r w:rsidRPr="00C06598">
        <w:rPr>
          <w:rFonts w:ascii="Times New Roman" w:eastAsiaTheme="minorHAnsi" w:hAnsi="Times New Roman" w:cs="Times New Roman"/>
          <w:color w:val="auto"/>
          <w:kern w:val="2"/>
          <w:sz w:val="24"/>
          <w:szCs w:val="24"/>
          <w:lang w:val="en-IN"/>
          <w14:ligatures w14:val="standardContextual"/>
        </w:rPr>
        <w:t>Mehta, D., &amp; Shah, A. (2021). Mutual fund investment during uncertain market conditions.</w:t>
      </w:r>
    </w:p>
    <w:p w:rsidR="00CD6B4D" w:rsidRPr="00C06598" w:rsidRDefault="00CD6B4D" w:rsidP="00CD6B4D">
      <w:pPr>
        <w:pStyle w:val="Heading3"/>
        <w:numPr>
          <w:ilvl w:val="0"/>
          <w:numId w:val="27"/>
        </w:numPr>
        <w:spacing w:before="240" w:line="360" w:lineRule="auto"/>
        <w:ind w:left="567"/>
        <w:rPr>
          <w:rFonts w:ascii="Times New Roman" w:eastAsiaTheme="minorHAnsi" w:hAnsi="Times New Roman" w:cs="Times New Roman"/>
          <w:color w:val="auto"/>
          <w:kern w:val="2"/>
          <w:sz w:val="24"/>
          <w:szCs w:val="24"/>
          <w:lang w:val="en-IN"/>
          <w14:ligatures w14:val="standardContextual"/>
        </w:rPr>
      </w:pPr>
      <w:r w:rsidRPr="00C06598">
        <w:rPr>
          <w:rFonts w:ascii="Times New Roman" w:eastAsiaTheme="minorHAnsi" w:hAnsi="Times New Roman" w:cs="Times New Roman"/>
          <w:color w:val="auto"/>
          <w:kern w:val="2"/>
          <w:sz w:val="24"/>
          <w:szCs w:val="24"/>
          <w:lang w:val="en-IN"/>
          <w14:ligatures w14:val="standardContextual"/>
        </w:rPr>
        <w:t>Nair, A., &amp; Thomas, J. (2023). Role of financial advisors in mutual fund investment decisions.</w:t>
      </w:r>
    </w:p>
    <w:p w:rsidR="00CD6B4D" w:rsidRDefault="00CD6B4D" w:rsidP="00CD6B4D">
      <w:pPr>
        <w:pStyle w:val="Heading3"/>
        <w:numPr>
          <w:ilvl w:val="0"/>
          <w:numId w:val="27"/>
        </w:numPr>
        <w:spacing w:before="240" w:after="200" w:line="360" w:lineRule="auto"/>
        <w:ind w:left="567"/>
        <w:rPr>
          <w:rFonts w:ascii="Times New Roman" w:eastAsiaTheme="minorHAnsi" w:hAnsi="Times New Roman" w:cs="Times New Roman"/>
          <w:color w:val="auto"/>
          <w:kern w:val="2"/>
          <w:sz w:val="24"/>
          <w:szCs w:val="24"/>
          <w:lang w:val="en-IN"/>
          <w14:ligatures w14:val="standardContextual"/>
        </w:rPr>
      </w:pPr>
      <w:r w:rsidRPr="00C06598">
        <w:rPr>
          <w:rFonts w:ascii="Times New Roman" w:eastAsiaTheme="minorHAnsi" w:hAnsi="Times New Roman" w:cs="Times New Roman"/>
          <w:color w:val="auto"/>
          <w:kern w:val="2"/>
          <w:sz w:val="24"/>
          <w:szCs w:val="24"/>
          <w:lang w:val="en-IN"/>
          <w14:ligatures w14:val="standardContextual"/>
        </w:rPr>
        <w:t>Joseph, R., &amp; Mathew, S. (2025). Recent trends in mutual fund investment behaviour among retail investors.</w:t>
      </w:r>
    </w:p>
    <w:p w:rsidR="00CD6B4D" w:rsidRPr="005D4B7D" w:rsidRDefault="00CD6B4D" w:rsidP="00CD6B4D">
      <w:pPr>
        <w:pStyle w:val="Heading3"/>
        <w:spacing w:before="240" w:line="360" w:lineRule="auto"/>
        <w:rPr>
          <w:rFonts w:ascii="Times New Roman" w:hAnsi="Times New Roman" w:cs="Times New Roman"/>
          <w:b/>
          <w:bCs/>
          <w:color w:val="auto"/>
          <w:sz w:val="24"/>
          <w:szCs w:val="24"/>
        </w:rPr>
      </w:pPr>
      <w:r w:rsidRPr="005D4B7D">
        <w:rPr>
          <w:rFonts w:ascii="Times New Roman" w:hAnsi="Times New Roman" w:cs="Times New Roman"/>
          <w:b/>
          <w:bCs/>
          <w:color w:val="auto"/>
          <w:sz w:val="24"/>
          <w:szCs w:val="24"/>
        </w:rPr>
        <w:t>BOOKS</w:t>
      </w:r>
      <w:r>
        <w:rPr>
          <w:rFonts w:ascii="Times New Roman" w:hAnsi="Times New Roman" w:cs="Times New Roman"/>
          <w:b/>
          <w:bCs/>
          <w:color w:val="auto"/>
          <w:sz w:val="24"/>
          <w:szCs w:val="24"/>
        </w:rPr>
        <w:t>:</w:t>
      </w:r>
    </w:p>
    <w:p w:rsidR="00CD6B4D" w:rsidRPr="005D4B7D" w:rsidRDefault="00CD6B4D" w:rsidP="00CD6B4D">
      <w:pPr>
        <w:pStyle w:val="Heading3"/>
        <w:numPr>
          <w:ilvl w:val="0"/>
          <w:numId w:val="28"/>
        </w:numPr>
        <w:spacing w:before="240" w:line="360" w:lineRule="auto"/>
        <w:rPr>
          <w:rFonts w:ascii="Times New Roman" w:hAnsi="Times New Roman" w:cs="Times New Roman"/>
          <w:bCs/>
          <w:color w:val="auto"/>
          <w:sz w:val="24"/>
          <w:szCs w:val="24"/>
        </w:rPr>
      </w:pPr>
      <w:r w:rsidRPr="005D4B7D">
        <w:rPr>
          <w:rFonts w:ascii="Times New Roman" w:hAnsi="Times New Roman" w:cs="Times New Roman"/>
          <w:bCs/>
          <w:color w:val="auto"/>
          <w:sz w:val="24"/>
          <w:szCs w:val="24"/>
        </w:rPr>
        <w:t xml:space="preserve">Agarwal, P. R. (1996). Mutual funds – </w:t>
      </w:r>
      <w:r w:rsidRPr="005D4B7D">
        <w:rPr>
          <w:rFonts w:ascii="Times New Roman" w:hAnsi="Times New Roman" w:cs="Times New Roman"/>
          <w:bCs/>
          <w:i/>
          <w:color w:val="auto"/>
          <w:sz w:val="24"/>
          <w:szCs w:val="24"/>
        </w:rPr>
        <w:t>A comprehensive approach to mutual funds,</w:t>
      </w:r>
      <w:r w:rsidRPr="005D4B7D">
        <w:rPr>
          <w:rFonts w:ascii="Times New Roman" w:hAnsi="Times New Roman" w:cs="Times New Roman"/>
          <w:bCs/>
          <w:color w:val="auto"/>
          <w:sz w:val="24"/>
          <w:szCs w:val="24"/>
        </w:rPr>
        <w:t xml:space="preserve"> Orient Law House.</w:t>
      </w:r>
    </w:p>
    <w:p w:rsidR="00CD6B4D" w:rsidRPr="005D4B7D" w:rsidRDefault="00CD6B4D" w:rsidP="00CD6B4D">
      <w:pPr>
        <w:pStyle w:val="Heading3"/>
        <w:numPr>
          <w:ilvl w:val="0"/>
          <w:numId w:val="28"/>
        </w:numPr>
        <w:spacing w:before="240" w:line="360" w:lineRule="auto"/>
        <w:rPr>
          <w:rFonts w:ascii="Times New Roman" w:hAnsi="Times New Roman" w:cs="Times New Roman"/>
          <w:bCs/>
          <w:color w:val="auto"/>
          <w:sz w:val="24"/>
          <w:szCs w:val="24"/>
        </w:rPr>
      </w:pPr>
      <w:r w:rsidRPr="005D4B7D">
        <w:rPr>
          <w:rFonts w:ascii="Times New Roman" w:hAnsi="Times New Roman" w:cs="Times New Roman"/>
          <w:bCs/>
          <w:color w:val="auto"/>
          <w:sz w:val="24"/>
          <w:szCs w:val="24"/>
        </w:rPr>
        <w:t xml:space="preserve">Gupta, L. C. (1992). </w:t>
      </w:r>
      <w:r w:rsidRPr="005D4B7D">
        <w:rPr>
          <w:rFonts w:ascii="Times New Roman" w:hAnsi="Times New Roman" w:cs="Times New Roman"/>
          <w:bCs/>
          <w:i/>
          <w:color w:val="auto"/>
          <w:sz w:val="24"/>
          <w:szCs w:val="24"/>
        </w:rPr>
        <w:t>Mutual funds and asset preference,</w:t>
      </w:r>
      <w:r w:rsidRPr="005D4B7D">
        <w:rPr>
          <w:rFonts w:ascii="Times New Roman" w:hAnsi="Times New Roman" w:cs="Times New Roman"/>
          <w:bCs/>
          <w:color w:val="auto"/>
          <w:sz w:val="24"/>
          <w:szCs w:val="24"/>
        </w:rPr>
        <w:t xml:space="preserve"> Society for Capital Market Research and Development.</w:t>
      </w:r>
    </w:p>
    <w:p w:rsidR="00CD6B4D" w:rsidRPr="005D4B7D" w:rsidRDefault="00CD6B4D" w:rsidP="00CD6B4D">
      <w:pPr>
        <w:pStyle w:val="Heading3"/>
        <w:numPr>
          <w:ilvl w:val="0"/>
          <w:numId w:val="28"/>
        </w:numPr>
        <w:spacing w:before="240" w:after="200" w:line="360" w:lineRule="auto"/>
        <w:rPr>
          <w:rFonts w:ascii="Times New Roman" w:hAnsi="Times New Roman" w:cs="Times New Roman"/>
          <w:bCs/>
          <w:color w:val="auto"/>
          <w:sz w:val="24"/>
          <w:szCs w:val="24"/>
        </w:rPr>
      </w:pPr>
      <w:r w:rsidRPr="005D4B7D">
        <w:rPr>
          <w:rFonts w:ascii="Times New Roman" w:hAnsi="Times New Roman" w:cs="Times New Roman"/>
          <w:bCs/>
          <w:color w:val="auto"/>
          <w:sz w:val="24"/>
          <w:szCs w:val="24"/>
        </w:rPr>
        <w:t xml:space="preserve">Gupta, A. (2002). Mutual funds in India: </w:t>
      </w:r>
      <w:r w:rsidRPr="005D4B7D">
        <w:rPr>
          <w:rFonts w:ascii="Times New Roman" w:hAnsi="Times New Roman" w:cs="Times New Roman"/>
          <w:bCs/>
          <w:i/>
          <w:color w:val="auto"/>
          <w:sz w:val="24"/>
          <w:szCs w:val="24"/>
        </w:rPr>
        <w:t>A study of investment management,</w:t>
      </w:r>
      <w:r w:rsidRPr="005D4B7D">
        <w:rPr>
          <w:rFonts w:ascii="Times New Roman" w:hAnsi="Times New Roman" w:cs="Times New Roman"/>
          <w:bCs/>
          <w:color w:val="auto"/>
          <w:sz w:val="24"/>
          <w:szCs w:val="24"/>
        </w:rPr>
        <w:t xml:space="preserve"> Anmol Publications Pvt. Ltd.</w:t>
      </w:r>
    </w:p>
    <w:p w:rsidR="00CD6B4D" w:rsidRPr="00157D51" w:rsidRDefault="00CD6B4D" w:rsidP="00CD6B4D">
      <w:pPr>
        <w:pStyle w:val="Heading3"/>
        <w:spacing w:before="240" w:after="200" w:line="360" w:lineRule="auto"/>
        <w:rPr>
          <w:rFonts w:ascii="Times New Roman" w:hAnsi="Times New Roman" w:cs="Times New Roman"/>
          <w:b/>
          <w:bCs/>
          <w:color w:val="auto"/>
          <w:sz w:val="24"/>
          <w:szCs w:val="24"/>
        </w:rPr>
      </w:pPr>
      <w:r w:rsidRPr="00157D51">
        <w:rPr>
          <w:rFonts w:ascii="Times New Roman" w:hAnsi="Times New Roman" w:cs="Times New Roman"/>
          <w:b/>
          <w:bCs/>
          <w:color w:val="auto"/>
          <w:sz w:val="24"/>
          <w:szCs w:val="24"/>
        </w:rPr>
        <w:t>WEBSITES</w:t>
      </w:r>
      <w:r>
        <w:rPr>
          <w:rFonts w:ascii="Times New Roman" w:hAnsi="Times New Roman" w:cs="Times New Roman"/>
          <w:b/>
          <w:bCs/>
          <w:color w:val="auto"/>
          <w:sz w:val="24"/>
          <w:szCs w:val="24"/>
        </w:rPr>
        <w:t>:</w:t>
      </w:r>
    </w:p>
    <w:p w:rsidR="00CD6B4D" w:rsidRPr="00157D51" w:rsidRDefault="00CD6B4D" w:rsidP="00CD6B4D">
      <w:pPr>
        <w:pStyle w:val="NormalWeb"/>
        <w:numPr>
          <w:ilvl w:val="0"/>
          <w:numId w:val="13"/>
        </w:numPr>
        <w:spacing w:before="240" w:after="200" w:line="360" w:lineRule="auto"/>
      </w:pPr>
      <w:r w:rsidRPr="00157D51">
        <w:t xml:space="preserve">Association of Mutual Funds in India. (n.d.). </w:t>
      </w:r>
      <w:r w:rsidRPr="00157D51">
        <w:rPr>
          <w:rStyle w:val="Emphasis"/>
        </w:rPr>
        <w:t>Introduction to mutual funds</w:t>
      </w:r>
      <w:r w:rsidRPr="00157D51">
        <w:t xml:space="preserve">. Retrieved May 14, 2026, from </w:t>
      </w:r>
      <w:hyperlink r:id="rId54" w:tgtFrame="_new" w:history="1">
        <w:r w:rsidRPr="00157D51">
          <w:rPr>
            <w:rStyle w:val="Hyperlink"/>
            <w:color w:val="auto"/>
          </w:rPr>
          <w:t>https://www.amfiindia.com/investor/knowledge-center-info?zoneName=IntroductionMutualFunds</w:t>
        </w:r>
      </w:hyperlink>
    </w:p>
    <w:p w:rsidR="00CD6B4D" w:rsidRPr="00157D51" w:rsidRDefault="00CD6B4D" w:rsidP="00CD6B4D">
      <w:pPr>
        <w:pStyle w:val="NormalWeb"/>
        <w:numPr>
          <w:ilvl w:val="0"/>
          <w:numId w:val="13"/>
        </w:numPr>
        <w:spacing w:before="240" w:after="200" w:line="360" w:lineRule="auto"/>
      </w:pPr>
      <w:r w:rsidRPr="00157D51">
        <w:t xml:space="preserve">Association of Mutual Funds in India. (n.d.). </w:t>
      </w:r>
      <w:r w:rsidRPr="00157D51">
        <w:rPr>
          <w:rStyle w:val="Emphasis"/>
        </w:rPr>
        <w:t>Investor corner</w:t>
      </w:r>
      <w:r w:rsidRPr="00157D51">
        <w:t xml:space="preserve">. Retrieved May 14, 2026, from </w:t>
      </w:r>
      <w:hyperlink r:id="rId55" w:tgtFrame="_new" w:history="1">
        <w:r w:rsidRPr="00157D51">
          <w:rPr>
            <w:rStyle w:val="Hyperlink"/>
            <w:color w:val="auto"/>
          </w:rPr>
          <w:t>https://www.amfiindia.com/investor</w:t>
        </w:r>
      </w:hyperlink>
    </w:p>
    <w:p w:rsidR="00CD6B4D" w:rsidRPr="00157D51" w:rsidRDefault="00CD6B4D" w:rsidP="00CD6B4D">
      <w:pPr>
        <w:pStyle w:val="NormalWeb"/>
        <w:numPr>
          <w:ilvl w:val="0"/>
          <w:numId w:val="13"/>
        </w:numPr>
        <w:spacing w:before="240" w:after="200" w:line="360" w:lineRule="auto"/>
      </w:pPr>
      <w:r w:rsidRPr="00157D51">
        <w:t xml:space="preserve">Association of Mutual Funds in India. (n.d.). </w:t>
      </w:r>
      <w:r w:rsidRPr="00157D51">
        <w:rPr>
          <w:rStyle w:val="Emphasis"/>
        </w:rPr>
        <w:t>Official website</w:t>
      </w:r>
      <w:r w:rsidRPr="00157D51">
        <w:t xml:space="preserve">. Retrieved May 14, 2026, from </w:t>
      </w:r>
      <w:hyperlink r:id="rId56" w:tgtFrame="_new" w:history="1">
        <w:r w:rsidRPr="00157D51">
          <w:rPr>
            <w:rStyle w:val="Hyperlink"/>
            <w:color w:val="auto"/>
          </w:rPr>
          <w:t>https://www.amfiindia.com/</w:t>
        </w:r>
      </w:hyperlink>
    </w:p>
    <w:p w:rsidR="00CD6B4D" w:rsidRPr="00157D51" w:rsidRDefault="00CD6B4D" w:rsidP="00CD6B4D">
      <w:pPr>
        <w:pStyle w:val="NormalWeb"/>
        <w:numPr>
          <w:ilvl w:val="0"/>
          <w:numId w:val="13"/>
        </w:numPr>
        <w:spacing w:before="240" w:after="200" w:line="360" w:lineRule="auto"/>
      </w:pPr>
      <w:r w:rsidRPr="00157D51">
        <w:t xml:space="preserve">Geojit Financial Services Ltd. (n.d.). </w:t>
      </w:r>
      <w:r w:rsidRPr="00157D51">
        <w:rPr>
          <w:rStyle w:val="Emphasis"/>
        </w:rPr>
        <w:t>Official website</w:t>
      </w:r>
      <w:r w:rsidRPr="00157D51">
        <w:t xml:space="preserve">. Retrieved May 14, 2026, from </w:t>
      </w:r>
      <w:hyperlink r:id="rId57" w:tgtFrame="_new" w:history="1">
        <w:r w:rsidRPr="00157D51">
          <w:rPr>
            <w:rStyle w:val="Hyperlink"/>
            <w:color w:val="auto"/>
          </w:rPr>
          <w:t>https://www.geojit.com/</w:t>
        </w:r>
      </w:hyperlink>
    </w:p>
    <w:p w:rsidR="00CD6B4D" w:rsidRPr="00157D51" w:rsidRDefault="00CD6B4D" w:rsidP="00CD6B4D">
      <w:pPr>
        <w:pStyle w:val="NormalWeb"/>
        <w:numPr>
          <w:ilvl w:val="0"/>
          <w:numId w:val="13"/>
        </w:numPr>
        <w:spacing w:before="240" w:after="200" w:line="360" w:lineRule="auto"/>
      </w:pPr>
      <w:r w:rsidRPr="00157D51">
        <w:lastRenderedPageBreak/>
        <w:t xml:space="preserve">Securities and Exchange Board of India. (n.d.). </w:t>
      </w:r>
      <w:r w:rsidRPr="00157D51">
        <w:rPr>
          <w:rStyle w:val="Emphasis"/>
        </w:rPr>
        <w:t>Investor education</w:t>
      </w:r>
      <w:r w:rsidRPr="00157D51">
        <w:t xml:space="preserve">. Retrieved May 14, 2026, from </w:t>
      </w:r>
      <w:hyperlink r:id="rId58" w:tgtFrame="_new" w:history="1">
        <w:r w:rsidRPr="00157D51">
          <w:rPr>
            <w:rStyle w:val="Hyperlink"/>
            <w:color w:val="auto"/>
          </w:rPr>
          <w:t>https://investor.sebi.gov.in/</w:t>
        </w:r>
      </w:hyperlink>
    </w:p>
    <w:p w:rsidR="00CD6B4D" w:rsidRPr="00157D51" w:rsidRDefault="00CD6B4D" w:rsidP="00CD6B4D">
      <w:pPr>
        <w:pStyle w:val="NormalWeb"/>
        <w:numPr>
          <w:ilvl w:val="0"/>
          <w:numId w:val="13"/>
        </w:numPr>
        <w:spacing w:before="240" w:after="200" w:line="360" w:lineRule="auto"/>
      </w:pPr>
      <w:r w:rsidRPr="00157D51">
        <w:t xml:space="preserve">Securities and Exchange Board of India. (n.d.). </w:t>
      </w:r>
      <w:r w:rsidRPr="00157D51">
        <w:rPr>
          <w:rStyle w:val="Emphasis"/>
        </w:rPr>
        <w:t>Official website</w:t>
      </w:r>
      <w:r w:rsidRPr="00157D51">
        <w:t xml:space="preserve">. Retrieved May 14, 2026, from </w:t>
      </w:r>
      <w:hyperlink r:id="rId59" w:tgtFrame="_new" w:history="1">
        <w:r w:rsidRPr="00157D51">
          <w:rPr>
            <w:rStyle w:val="Hyperlink"/>
            <w:color w:val="auto"/>
          </w:rPr>
          <w:t>https://www.sebi.gov.in/</w:t>
        </w:r>
      </w:hyperlink>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spacing w:before="240" w:line="360" w:lineRule="auto"/>
        <w:jc w:val="center"/>
        <w:rPr>
          <w:rFonts w:ascii="Times New Roman" w:hAnsi="Times New Roman" w:cs="Times New Roman"/>
          <w:b/>
          <w:bCs/>
          <w:sz w:val="24"/>
          <w:szCs w:val="24"/>
        </w:rPr>
      </w:pPr>
      <w:r w:rsidRPr="00157D51">
        <w:rPr>
          <w:rFonts w:ascii="Times New Roman" w:hAnsi="Times New Roman" w:cs="Times New Roman"/>
          <w:b/>
          <w:bCs/>
          <w:sz w:val="24"/>
          <w:szCs w:val="24"/>
        </w:rPr>
        <w:lastRenderedPageBreak/>
        <w:t xml:space="preserve">QUESTIONNAIRE </w:t>
      </w:r>
    </w:p>
    <w:p w:rsidR="00CD6B4D" w:rsidRPr="00157D51" w:rsidRDefault="00CD6B4D" w:rsidP="00CD6B4D">
      <w:pPr>
        <w:spacing w:before="240" w:line="360" w:lineRule="auto"/>
        <w:jc w:val="center"/>
        <w:rPr>
          <w:rFonts w:ascii="Times New Roman" w:hAnsi="Times New Roman" w:cs="Times New Roman"/>
          <w:b/>
          <w:bCs/>
          <w:sz w:val="24"/>
          <w:szCs w:val="24"/>
        </w:rPr>
      </w:pPr>
      <w:r w:rsidRPr="00157D51">
        <w:rPr>
          <w:rFonts w:ascii="Times New Roman" w:hAnsi="Times New Roman" w:cs="Times New Roman"/>
          <w:b/>
          <w:bCs/>
          <w:sz w:val="24"/>
          <w:szCs w:val="24"/>
        </w:rPr>
        <w:t>A STUDY ON INVESTMENT BEHAVIOUR OF MUTUAL FUND INVESTORS WITH REFERENCE TO GEOJIT FINANCIAL SERVICE LTD</w:t>
      </w:r>
    </w:p>
    <w:p w:rsidR="00CD6B4D" w:rsidRPr="00157D51" w:rsidRDefault="00CD6B4D" w:rsidP="00CD6B4D">
      <w:p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Name (Optional)</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Age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Upto 30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31-40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41-50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51-60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Above 60 years</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Gender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Male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Female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Prefer not to say</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 xml:space="preserve">Education </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Upto HSC</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Graduation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PG</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Professional degree</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 xml:space="preserve">Occupation </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Student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Salaried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Self Employed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Housewife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Professional</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Monthly income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Upto 25000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25001-50000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50001-75000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75001-1 lakh</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1 lakh &amp; above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lastRenderedPageBreak/>
        <w:t xml:space="preserve">Marital status </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Married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Unmarried</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Annual savings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Less than 50000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50001 to 100000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Above 100000</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How long have you been investing in mutual funds?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Less than 1 year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1-3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3-5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More than 5 years</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How do you usually invest in mutual funds?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SIP</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Lump Sum</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Both</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How much do you invest monthly in mutual funds?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Below 5000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5001–10000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10001–25000</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Above 25000</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What is your preferred investment period?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Less than 1 year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1-3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3-5 years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Above 5 years</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How often do you review your mutual fund investments?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Monthly</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Quarterly</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Half-yearly</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Yearly</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Do you invest regularly in MFs?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Yes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No</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lastRenderedPageBreak/>
        <w:t>Maybe</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Do you diversify investments across schemes?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Yes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No</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Sometimes</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type of mutual fund do you prefer?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Equity Fund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Debt Fund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Hybrid Fund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Index Fund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ELSS/ Tax Saving Fund</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What level of risk do you prefer?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Low</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Moderate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High</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What is your purpose of investing in MFs?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Retirement planning</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Wealth Creation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Children's Education/ Marriage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Tax Benefit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Diversification</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Through which channel do you invest in mutual funds?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Agent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Bank</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Online platform</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Register/ Transfer agent</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Who influences your decision while investing in MFs?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Self-decision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Family/Friends/Relatives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Media Reports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Brokers/Bank Advice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Advertisement</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return option do you prefer?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Growth Option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lastRenderedPageBreak/>
        <w:t>Dividend Payout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Dividend Reinvestment</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withdrawal option do you prefer?</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Lump Sum / Full Withdrawal</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Systematic Withdrawal Plan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Partial Withdrawal</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factor influences your investment decision the most?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Return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Risk</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Liquidity</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Tax Benefits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Advisor Suggestion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Brand Reputation</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Do advisor suggestions influence your investment decisions?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Yes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No</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Sometimes</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How important are the following factors while selecting mutual funds?</w:t>
      </w:r>
    </w:p>
    <w:tbl>
      <w:tblPr>
        <w:tblStyle w:val="TableGrid"/>
        <w:tblW w:w="7789" w:type="dxa"/>
        <w:tblLook w:val="04A0" w:firstRow="1" w:lastRow="0" w:firstColumn="1" w:lastColumn="0" w:noHBand="0" w:noVBand="1"/>
      </w:tblPr>
      <w:tblGrid>
        <w:gridCol w:w="1656"/>
        <w:gridCol w:w="1226"/>
        <w:gridCol w:w="1226"/>
        <w:gridCol w:w="1227"/>
        <w:gridCol w:w="1227"/>
        <w:gridCol w:w="1227"/>
      </w:tblGrid>
      <w:tr w:rsidR="00CD6B4D" w:rsidRPr="00157D51" w:rsidTr="00D401C7">
        <w:trPr>
          <w:trHeight w:val="300"/>
        </w:trPr>
        <w:tc>
          <w:tcPr>
            <w:tcW w:w="165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Very Important</w:t>
            </w:r>
          </w:p>
        </w:tc>
        <w:tc>
          <w:tcPr>
            <w:tcW w:w="1226"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Important</w:t>
            </w:r>
          </w:p>
        </w:tc>
        <w:tc>
          <w:tcPr>
            <w:tcW w:w="1227"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Neutral </w:t>
            </w:r>
          </w:p>
        </w:tc>
        <w:tc>
          <w:tcPr>
            <w:tcW w:w="1227"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Not Important</w:t>
            </w:r>
          </w:p>
        </w:tc>
        <w:tc>
          <w:tcPr>
            <w:tcW w:w="1227"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Not at all Important</w:t>
            </w: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Safety</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177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 xml:space="preserve">Tax Benefit                                                                           </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 xml:space="preserve">Liquidity </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Past Returns</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lastRenderedPageBreak/>
              <w:t>Diversification Benefit</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Professional fund Mgmt.</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Regular Savings</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pStyle w:val="ListParagraph"/>
              <w:spacing w:before="240" w:line="360" w:lineRule="auto"/>
              <w:ind w:left="0"/>
              <w:jc w:val="both"/>
              <w:rPr>
                <w:rFonts w:ascii="Times New Roman" w:hAnsi="Times New Roman" w:cs="Times New Roman"/>
                <w:sz w:val="24"/>
                <w:szCs w:val="24"/>
              </w:rPr>
            </w:pPr>
            <w:r w:rsidRPr="00157D51">
              <w:rPr>
                <w:rFonts w:ascii="Times New Roman" w:hAnsi="Times New Roman" w:cs="Times New Roman"/>
                <w:sz w:val="24"/>
                <w:szCs w:val="24"/>
              </w:rPr>
              <w:t>Transparency</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Charges</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rPr>
          <w:trHeight w:val="300"/>
        </w:trPr>
        <w:tc>
          <w:tcPr>
            <w:tcW w:w="1656" w:type="dxa"/>
          </w:tcPr>
          <w:p w:rsidR="00CD6B4D" w:rsidRPr="00157D51" w:rsidRDefault="00CD6B4D" w:rsidP="00D401C7">
            <w:pPr>
              <w:spacing w:before="240" w:line="360" w:lineRule="auto"/>
              <w:rPr>
                <w:rFonts w:ascii="Times New Roman" w:hAnsi="Times New Roman" w:cs="Times New Roman"/>
                <w:sz w:val="24"/>
                <w:szCs w:val="24"/>
              </w:rPr>
            </w:pPr>
            <w:r w:rsidRPr="00157D51">
              <w:rPr>
                <w:rFonts w:ascii="Times New Roman" w:hAnsi="Times New Roman" w:cs="Times New Roman"/>
                <w:sz w:val="24"/>
                <w:szCs w:val="24"/>
              </w:rPr>
              <w:t>Convenience</w:t>
            </w: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6"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227" w:type="dxa"/>
          </w:tcPr>
          <w:p w:rsidR="00CD6B4D" w:rsidRPr="00157D51" w:rsidRDefault="00CD6B4D" w:rsidP="00D401C7">
            <w:pPr>
              <w:spacing w:before="240" w:line="360" w:lineRule="auto"/>
              <w:jc w:val="both"/>
              <w:rPr>
                <w:rFonts w:ascii="Times New Roman" w:hAnsi="Times New Roman" w:cs="Times New Roman"/>
                <w:sz w:val="24"/>
                <w:szCs w:val="24"/>
              </w:rPr>
            </w:pPr>
          </w:p>
        </w:tc>
      </w:tr>
    </w:tbl>
    <w:p w:rsidR="00CD6B4D" w:rsidRPr="00157D51" w:rsidRDefault="00CD6B4D" w:rsidP="00CD6B4D">
      <w:pPr>
        <w:spacing w:before="240" w:line="360" w:lineRule="auto"/>
        <w:jc w:val="both"/>
        <w:rPr>
          <w:rFonts w:ascii="Times New Roman" w:hAnsi="Times New Roman" w:cs="Times New Roman"/>
          <w:sz w:val="24"/>
          <w:szCs w:val="24"/>
        </w:rPr>
      </w:pP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among the following is the safest Investment option?</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Mutual Funds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Stock Market</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Bank Deposits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Other:-----------</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Which factors prevent you to invest in mutual fund?</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Lack of Knowledge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Fear of risk/ market loss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Difficulty in selection of schemes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Insufficient income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High market volatility</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Other:-------------</w:t>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Please indicate your level of agreement with the following statements</w:t>
      </w:r>
    </w:p>
    <w:tbl>
      <w:tblPr>
        <w:tblStyle w:val="TableGrid"/>
        <w:tblW w:w="0" w:type="auto"/>
        <w:tblLook w:val="04A0" w:firstRow="1" w:lastRow="0" w:firstColumn="1" w:lastColumn="0" w:noHBand="0" w:noVBand="1"/>
      </w:tblPr>
      <w:tblGrid>
        <w:gridCol w:w="2082"/>
        <w:gridCol w:w="1189"/>
        <w:gridCol w:w="1189"/>
        <w:gridCol w:w="1138"/>
        <w:gridCol w:w="1191"/>
        <w:gridCol w:w="1191"/>
      </w:tblGrid>
      <w:tr w:rsidR="00CD6B4D" w:rsidRPr="00157D51" w:rsidTr="00D401C7">
        <w:tc>
          <w:tcPr>
            <w:tcW w:w="1927"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Strongly Agree</w:t>
            </w:r>
          </w:p>
        </w:tc>
        <w:tc>
          <w:tcPr>
            <w:tcW w:w="1189"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Agree</w:t>
            </w:r>
          </w:p>
        </w:tc>
        <w:tc>
          <w:tcPr>
            <w:tcW w:w="1138"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Neutral </w:t>
            </w:r>
          </w:p>
        </w:tc>
        <w:tc>
          <w:tcPr>
            <w:tcW w:w="1191"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Disagree </w:t>
            </w:r>
          </w:p>
        </w:tc>
        <w:tc>
          <w:tcPr>
            <w:tcW w:w="1191" w:type="dxa"/>
          </w:tcPr>
          <w:p w:rsidR="00CD6B4D" w:rsidRPr="00157D51" w:rsidRDefault="00CD6B4D" w:rsidP="00D401C7">
            <w:pPr>
              <w:shd w:val="clear" w:color="auto" w:fill="FFFFFF"/>
              <w:spacing w:before="240" w:line="360" w:lineRule="auto"/>
              <w:jc w:val="center"/>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Strongly disagree </w:t>
            </w: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Mutual funds provide better returns than traditional investments</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SIP is a convenient method of investing</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Risk level affects my investment decisions</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Mutual funds are less risky than direct equity investment</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Mutual funds provide investors with access to a wide range of investment options. </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Professional fund management increases my </w:t>
            </w:r>
            <w:r w:rsidRPr="00157D51">
              <w:rPr>
                <w:rFonts w:ascii="Times New Roman" w:hAnsi="Times New Roman" w:cs="Times New Roman"/>
                <w:sz w:val="24"/>
                <w:szCs w:val="24"/>
              </w:rPr>
              <w:lastRenderedPageBreak/>
              <w:t>confidence in mutual funds</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I intend to continue investing in mutual funds in future</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r w:rsidR="00CD6B4D" w:rsidRPr="00157D51" w:rsidTr="00D401C7">
        <w:tc>
          <w:tcPr>
            <w:tcW w:w="1927" w:type="dxa"/>
          </w:tcPr>
          <w:p w:rsidR="00CD6B4D" w:rsidRPr="00157D51" w:rsidRDefault="00CD6B4D" w:rsidP="00D401C7">
            <w:pPr>
              <w:shd w:val="clear" w:color="auto" w:fill="F9F9F9"/>
              <w:spacing w:before="240" w:line="360" w:lineRule="auto"/>
              <w:textAlignment w:val="center"/>
              <w:rPr>
                <w:rFonts w:ascii="Times New Roman" w:hAnsi="Times New Roman" w:cs="Times New Roman"/>
                <w:sz w:val="24"/>
                <w:szCs w:val="24"/>
              </w:rPr>
            </w:pPr>
            <w:r w:rsidRPr="00157D51">
              <w:rPr>
                <w:rFonts w:ascii="Times New Roman" w:hAnsi="Times New Roman" w:cs="Times New Roman"/>
                <w:sz w:val="24"/>
                <w:szCs w:val="24"/>
              </w:rPr>
              <w:t xml:space="preserve">I will encourage my friends/family member/colleagues for investing in mutual funds </w:t>
            </w: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89"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38"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c>
          <w:tcPr>
            <w:tcW w:w="1191" w:type="dxa"/>
          </w:tcPr>
          <w:p w:rsidR="00CD6B4D" w:rsidRPr="00157D51" w:rsidRDefault="00CD6B4D" w:rsidP="00D401C7">
            <w:pPr>
              <w:spacing w:before="240" w:line="360" w:lineRule="auto"/>
              <w:jc w:val="both"/>
              <w:rPr>
                <w:rFonts w:ascii="Times New Roman" w:hAnsi="Times New Roman" w:cs="Times New Roman"/>
                <w:sz w:val="24"/>
                <w:szCs w:val="24"/>
              </w:rPr>
            </w:pPr>
          </w:p>
        </w:tc>
      </w:tr>
    </w:tbl>
    <w:p w:rsidR="00CD6B4D" w:rsidRPr="00157D51" w:rsidRDefault="00CD6B4D" w:rsidP="00CD6B4D">
      <w:p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ab/>
      </w:r>
    </w:p>
    <w:p w:rsidR="00CD6B4D" w:rsidRPr="00157D51" w:rsidRDefault="00CD6B4D" w:rsidP="00CD6B4D">
      <w:pPr>
        <w:pStyle w:val="ListParagraph"/>
        <w:numPr>
          <w:ilvl w:val="0"/>
          <w:numId w:val="11"/>
        </w:numPr>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Will you prefer mutual funds over other investment avenues in future?</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Yes</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No</w:t>
      </w:r>
    </w:p>
    <w:p w:rsidR="00CD6B4D" w:rsidRPr="00157D51" w:rsidRDefault="00CD6B4D" w:rsidP="00CD6B4D">
      <w:pPr>
        <w:pStyle w:val="ListParagraph"/>
        <w:spacing w:before="240" w:line="360" w:lineRule="auto"/>
        <w:jc w:val="both"/>
        <w:rPr>
          <w:rFonts w:ascii="Times New Roman" w:hAnsi="Times New Roman" w:cs="Times New Roman"/>
          <w:sz w:val="24"/>
          <w:szCs w:val="24"/>
        </w:rPr>
      </w:pPr>
      <w:r w:rsidRPr="00157D51">
        <w:rPr>
          <w:rFonts w:ascii="Times New Roman" w:hAnsi="Times New Roman" w:cs="Times New Roman"/>
          <w:sz w:val="24"/>
          <w:szCs w:val="24"/>
        </w:rPr>
        <w:t>Can't Say</w:t>
      </w:r>
    </w:p>
    <w:p w:rsidR="00CD6B4D" w:rsidRPr="00157D51" w:rsidRDefault="00CD6B4D" w:rsidP="00CD6B4D">
      <w:pPr>
        <w:spacing w:before="240" w:line="360" w:lineRule="auto"/>
        <w:jc w:val="both"/>
        <w:rPr>
          <w:rFonts w:ascii="Times New Roman" w:hAnsi="Times New Roman" w:cs="Times New Roman"/>
          <w:sz w:val="24"/>
          <w:szCs w:val="24"/>
        </w:rPr>
      </w:pPr>
    </w:p>
    <w:p w:rsidR="00CD6B4D" w:rsidRPr="00157D51" w:rsidRDefault="00CD6B4D" w:rsidP="00CD6B4D">
      <w:pPr>
        <w:tabs>
          <w:tab w:val="left" w:pos="3912"/>
        </w:tabs>
        <w:spacing w:before="240" w:line="360" w:lineRule="auto"/>
        <w:rPr>
          <w:rFonts w:ascii="Times New Roman" w:hAnsi="Times New Roman" w:cs="Times New Roman"/>
          <w:b/>
          <w:bCs/>
          <w:sz w:val="24"/>
          <w:szCs w:val="24"/>
          <w:lang w:val="en-IN"/>
        </w:rPr>
      </w:pPr>
    </w:p>
    <w:p w:rsidR="00CD6B4D" w:rsidRPr="00157D51" w:rsidRDefault="00CD6B4D" w:rsidP="00CD6B4D">
      <w:pPr>
        <w:spacing w:line="360" w:lineRule="auto"/>
        <w:rPr>
          <w:rFonts w:ascii="Times New Roman" w:hAnsi="Times New Roman" w:cs="Times New Roman"/>
          <w:sz w:val="24"/>
          <w:szCs w:val="24"/>
        </w:rPr>
      </w:pPr>
    </w:p>
    <w:p w:rsidR="00CD6B4D" w:rsidRPr="00635B72" w:rsidRDefault="00CD6B4D"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p w:rsidR="00275966" w:rsidRPr="00635B72" w:rsidRDefault="00275966" w:rsidP="00275966">
      <w:pPr>
        <w:tabs>
          <w:tab w:val="left" w:pos="3912"/>
        </w:tabs>
        <w:spacing w:before="240" w:line="360" w:lineRule="auto"/>
        <w:jc w:val="both"/>
        <w:rPr>
          <w:rFonts w:ascii="Times New Roman" w:hAnsi="Times New Roman" w:cs="Times New Roman"/>
          <w:sz w:val="24"/>
          <w:szCs w:val="24"/>
          <w:lang w:val="en-IN"/>
        </w:rPr>
      </w:pPr>
    </w:p>
    <w:sectPr w:rsidR="00275966" w:rsidRPr="00635B72" w:rsidSect="00275966">
      <w:footerReference w:type="default" r:id="rId60"/>
      <w:pgSz w:w="11906" w:h="16838"/>
      <w:pgMar w:top="1440" w:right="1440" w:bottom="1440" w:left="179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1B4" w:rsidRDefault="00CD71B4" w:rsidP="00410E00">
      <w:pPr>
        <w:spacing w:after="0" w:line="240" w:lineRule="auto"/>
      </w:pPr>
      <w:r>
        <w:separator/>
      </w:r>
    </w:p>
  </w:endnote>
  <w:endnote w:type="continuationSeparator" w:id="0">
    <w:p w:rsidR="00CD71B4" w:rsidRDefault="00CD71B4" w:rsidP="00410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ont47">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755111"/>
      <w:docPartObj>
        <w:docPartGallery w:val="Page Numbers (Bottom of Page)"/>
        <w:docPartUnique/>
      </w:docPartObj>
    </w:sdtPr>
    <w:sdtEndPr>
      <w:rPr>
        <w:noProof/>
      </w:rPr>
    </w:sdtEndPr>
    <w:sdtContent>
      <w:p w:rsidR="00635B72" w:rsidRDefault="00635B72">
        <w:pPr>
          <w:pStyle w:val="Footer"/>
          <w:jc w:val="center"/>
        </w:pPr>
        <w:r>
          <w:fldChar w:fldCharType="begin"/>
        </w:r>
        <w:r>
          <w:instrText xml:space="preserve"> PAGE   \* MERGEFORMAT </w:instrText>
        </w:r>
        <w:r>
          <w:fldChar w:fldCharType="separate"/>
        </w:r>
        <w:r w:rsidR="00C12BED">
          <w:rPr>
            <w:noProof/>
          </w:rPr>
          <w:t>23</w:t>
        </w:r>
        <w:r>
          <w:rPr>
            <w:noProof/>
          </w:rPr>
          <w:fldChar w:fldCharType="end"/>
        </w:r>
      </w:p>
    </w:sdtContent>
  </w:sdt>
  <w:p w:rsidR="00635B72" w:rsidRDefault="00635B72" w:rsidP="00447C5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1B4" w:rsidRDefault="00CD71B4" w:rsidP="00410E00">
      <w:pPr>
        <w:spacing w:after="0" w:line="240" w:lineRule="auto"/>
      </w:pPr>
      <w:r>
        <w:separator/>
      </w:r>
    </w:p>
  </w:footnote>
  <w:footnote w:type="continuationSeparator" w:id="0">
    <w:p w:rsidR="00CD71B4" w:rsidRDefault="00CD71B4" w:rsidP="00410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B9FF"/>
    <w:multiLevelType w:val="hybridMultilevel"/>
    <w:tmpl w:val="FFFFFFFF"/>
    <w:lvl w:ilvl="0" w:tplc="38404956">
      <w:start w:val="1"/>
      <w:numFmt w:val="bullet"/>
      <w:lvlText w:val=""/>
      <w:lvlJc w:val="left"/>
      <w:pPr>
        <w:ind w:left="720" w:hanging="360"/>
      </w:pPr>
      <w:rPr>
        <w:rFonts w:ascii="Symbol" w:hAnsi="Symbol" w:hint="default"/>
      </w:rPr>
    </w:lvl>
    <w:lvl w:ilvl="1" w:tplc="F984F97C">
      <w:start w:val="1"/>
      <w:numFmt w:val="bullet"/>
      <w:lvlText w:val="o"/>
      <w:lvlJc w:val="left"/>
      <w:pPr>
        <w:ind w:left="1440" w:hanging="360"/>
      </w:pPr>
      <w:rPr>
        <w:rFonts w:ascii="Courier New" w:hAnsi="Courier New" w:hint="default"/>
      </w:rPr>
    </w:lvl>
    <w:lvl w:ilvl="2" w:tplc="B12EA0DE">
      <w:start w:val="1"/>
      <w:numFmt w:val="bullet"/>
      <w:lvlText w:val=""/>
      <w:lvlJc w:val="left"/>
      <w:pPr>
        <w:ind w:left="2160" w:hanging="360"/>
      </w:pPr>
      <w:rPr>
        <w:rFonts w:ascii="Wingdings" w:hAnsi="Wingdings" w:hint="default"/>
      </w:rPr>
    </w:lvl>
    <w:lvl w:ilvl="3" w:tplc="CB087B14">
      <w:start w:val="1"/>
      <w:numFmt w:val="bullet"/>
      <w:lvlText w:val=""/>
      <w:lvlJc w:val="left"/>
      <w:pPr>
        <w:ind w:left="2880" w:hanging="360"/>
      </w:pPr>
      <w:rPr>
        <w:rFonts w:ascii="Symbol" w:hAnsi="Symbol" w:hint="default"/>
      </w:rPr>
    </w:lvl>
    <w:lvl w:ilvl="4" w:tplc="41CE120A">
      <w:start w:val="1"/>
      <w:numFmt w:val="bullet"/>
      <w:lvlText w:val="o"/>
      <w:lvlJc w:val="left"/>
      <w:pPr>
        <w:ind w:left="3600" w:hanging="360"/>
      </w:pPr>
      <w:rPr>
        <w:rFonts w:ascii="Courier New" w:hAnsi="Courier New" w:hint="default"/>
      </w:rPr>
    </w:lvl>
    <w:lvl w:ilvl="5" w:tplc="601C6832">
      <w:start w:val="1"/>
      <w:numFmt w:val="bullet"/>
      <w:lvlText w:val=""/>
      <w:lvlJc w:val="left"/>
      <w:pPr>
        <w:ind w:left="4320" w:hanging="360"/>
      </w:pPr>
      <w:rPr>
        <w:rFonts w:ascii="Wingdings" w:hAnsi="Wingdings" w:hint="default"/>
      </w:rPr>
    </w:lvl>
    <w:lvl w:ilvl="6" w:tplc="C89A504E">
      <w:start w:val="1"/>
      <w:numFmt w:val="bullet"/>
      <w:lvlText w:val=""/>
      <w:lvlJc w:val="left"/>
      <w:pPr>
        <w:ind w:left="5040" w:hanging="360"/>
      </w:pPr>
      <w:rPr>
        <w:rFonts w:ascii="Symbol" w:hAnsi="Symbol" w:hint="default"/>
      </w:rPr>
    </w:lvl>
    <w:lvl w:ilvl="7" w:tplc="4FFAA9F4">
      <w:start w:val="1"/>
      <w:numFmt w:val="bullet"/>
      <w:lvlText w:val="o"/>
      <w:lvlJc w:val="left"/>
      <w:pPr>
        <w:ind w:left="5760" w:hanging="360"/>
      </w:pPr>
      <w:rPr>
        <w:rFonts w:ascii="Courier New" w:hAnsi="Courier New" w:hint="default"/>
      </w:rPr>
    </w:lvl>
    <w:lvl w:ilvl="8" w:tplc="9A38CD56">
      <w:start w:val="1"/>
      <w:numFmt w:val="bullet"/>
      <w:lvlText w:val=""/>
      <w:lvlJc w:val="left"/>
      <w:pPr>
        <w:ind w:left="6480" w:hanging="360"/>
      </w:pPr>
      <w:rPr>
        <w:rFonts w:ascii="Wingdings" w:hAnsi="Wingdings" w:hint="default"/>
      </w:rPr>
    </w:lvl>
  </w:abstractNum>
  <w:abstractNum w:abstractNumId="1" w15:restartNumberingAfterBreak="0">
    <w:nsid w:val="05DF687C"/>
    <w:multiLevelType w:val="multilevel"/>
    <w:tmpl w:val="EE362018"/>
    <w:lvl w:ilvl="0">
      <w:start w:val="1"/>
      <w:numFmt w:val="bullet"/>
      <w:lvlText w:val=""/>
      <w:lvlJc w:val="left"/>
      <w:pPr>
        <w:ind w:left="420" w:hanging="420"/>
      </w:pPr>
      <w:rPr>
        <w:rFonts w:ascii="Symbol" w:hAnsi="Symbol"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F53226"/>
    <w:multiLevelType w:val="multilevel"/>
    <w:tmpl w:val="EAC2AACA"/>
    <w:lvl w:ilvl="0">
      <w:start w:val="13"/>
      <w:numFmt w:val="bullet"/>
      <w:lvlText w:val="•"/>
      <w:lvlJc w:val="left"/>
      <w:pPr>
        <w:ind w:left="1080" w:hanging="720"/>
      </w:pPr>
      <w:rPr>
        <w:rFonts w:ascii="Times New Roman" w:eastAsiaTheme="minorHAnsi" w:hAnsi="Times New Roman" w:cs="Times New Roman" w:hint="default"/>
      </w:rPr>
    </w:lvl>
    <w:lvl w:ilvl="1">
      <w:start w:val="1"/>
      <w:numFmt w:val="decimal"/>
      <w:lvlText w:val="%2."/>
      <w:lvlJc w:val="left"/>
      <w:pPr>
        <w:ind w:left="1800" w:hanging="720"/>
      </w:pPr>
      <w:rPr>
        <w:rFont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F637B4D"/>
    <w:multiLevelType w:val="hybridMultilevel"/>
    <w:tmpl w:val="3A30D3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0A65D43"/>
    <w:multiLevelType w:val="multilevel"/>
    <w:tmpl w:val="2BEEAF1C"/>
    <w:lvl w:ilvl="0">
      <w:start w:val="13"/>
      <w:numFmt w:val="bullet"/>
      <w:lvlText w:val="•"/>
      <w:lvlJc w:val="left"/>
      <w:pPr>
        <w:ind w:left="1080" w:hanging="720"/>
      </w:pPr>
      <w:rPr>
        <w:rFonts w:ascii="Times New Roman" w:eastAsiaTheme="minorHAnsi" w:hAnsi="Times New Roman" w:cs="Times New Roman" w:hint="default"/>
      </w:rPr>
    </w:lvl>
    <w:lvl w:ilvl="1">
      <w:start w:val="1"/>
      <w:numFmt w:val="bullet"/>
      <w:lvlText w:val=""/>
      <w:lvlJc w:val="left"/>
      <w:pPr>
        <w:ind w:left="144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1C407376"/>
    <w:multiLevelType w:val="multilevel"/>
    <w:tmpl w:val="960E25E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391C41"/>
    <w:multiLevelType w:val="hybridMultilevel"/>
    <w:tmpl w:val="42B45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7700F2"/>
    <w:multiLevelType w:val="hybridMultilevel"/>
    <w:tmpl w:val="EF9493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5F56344"/>
    <w:multiLevelType w:val="hybridMultilevel"/>
    <w:tmpl w:val="6854F5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97E6F24"/>
    <w:multiLevelType w:val="hybridMultilevel"/>
    <w:tmpl w:val="2D9AD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45AAF"/>
    <w:multiLevelType w:val="multilevel"/>
    <w:tmpl w:val="EE362018"/>
    <w:lvl w:ilvl="0">
      <w:start w:val="1"/>
      <w:numFmt w:val="bullet"/>
      <w:lvlText w:val=""/>
      <w:lvlJc w:val="left"/>
      <w:pPr>
        <w:ind w:left="420" w:hanging="420"/>
      </w:pPr>
      <w:rPr>
        <w:rFonts w:ascii="Symbol" w:hAnsi="Symbol"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4C2D29"/>
    <w:multiLevelType w:val="hybridMultilevel"/>
    <w:tmpl w:val="52866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D47"/>
    <w:multiLevelType w:val="multilevel"/>
    <w:tmpl w:val="35208600"/>
    <w:lvl w:ilvl="0">
      <w:start w:val="13"/>
      <w:numFmt w:val="bullet"/>
      <w:lvlText w:val="•"/>
      <w:lvlJc w:val="left"/>
      <w:pPr>
        <w:ind w:left="1080" w:hanging="720"/>
      </w:pPr>
      <w:rPr>
        <w:rFonts w:ascii="Times New Roman" w:eastAsiaTheme="minorHAnsi"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37091CF2"/>
    <w:multiLevelType w:val="multilevel"/>
    <w:tmpl w:val="6A54A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7D3F19"/>
    <w:multiLevelType w:val="hybridMultilevel"/>
    <w:tmpl w:val="4F7E2EE4"/>
    <w:lvl w:ilvl="0" w:tplc="4009000F">
      <w:start w:val="1"/>
      <w:numFmt w:val="decimal"/>
      <w:lvlText w:val="%1."/>
      <w:lvlJc w:val="left"/>
      <w:pPr>
        <w:ind w:left="720" w:hanging="360"/>
      </w:pPr>
    </w:lvl>
    <w:lvl w:ilvl="1" w:tplc="619296A0">
      <w:start w:val="17"/>
      <w:numFmt w:val="bullet"/>
      <w:lvlText w:val=""/>
      <w:lvlJc w:val="left"/>
      <w:pPr>
        <w:ind w:left="1440" w:hanging="360"/>
      </w:pPr>
      <w:rPr>
        <w:rFonts w:ascii="Symbol" w:eastAsiaTheme="minorHAnsi" w:hAnsi="Symbol" w:cs="Times New Roman"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993722B"/>
    <w:multiLevelType w:val="hybridMultilevel"/>
    <w:tmpl w:val="688E93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3518D2F"/>
    <w:multiLevelType w:val="hybridMultilevel"/>
    <w:tmpl w:val="FFFFFFFF"/>
    <w:lvl w:ilvl="0" w:tplc="88EC357E">
      <w:start w:val="1"/>
      <w:numFmt w:val="bullet"/>
      <w:lvlText w:val=""/>
      <w:lvlJc w:val="left"/>
      <w:pPr>
        <w:ind w:left="720" w:hanging="360"/>
      </w:pPr>
      <w:rPr>
        <w:rFonts w:ascii="Symbol" w:hAnsi="Symbol" w:hint="default"/>
      </w:rPr>
    </w:lvl>
    <w:lvl w:ilvl="1" w:tplc="A2A4EF16">
      <w:start w:val="1"/>
      <w:numFmt w:val="bullet"/>
      <w:lvlText w:val="o"/>
      <w:lvlJc w:val="left"/>
      <w:pPr>
        <w:ind w:left="1440" w:hanging="360"/>
      </w:pPr>
      <w:rPr>
        <w:rFonts w:ascii="Courier New" w:hAnsi="Courier New" w:hint="default"/>
      </w:rPr>
    </w:lvl>
    <w:lvl w:ilvl="2" w:tplc="A71433BC">
      <w:start w:val="1"/>
      <w:numFmt w:val="bullet"/>
      <w:lvlText w:val=""/>
      <w:lvlJc w:val="left"/>
      <w:pPr>
        <w:ind w:left="2160" w:hanging="360"/>
      </w:pPr>
      <w:rPr>
        <w:rFonts w:ascii="Wingdings" w:hAnsi="Wingdings" w:hint="default"/>
      </w:rPr>
    </w:lvl>
    <w:lvl w:ilvl="3" w:tplc="2DE617FC">
      <w:start w:val="1"/>
      <w:numFmt w:val="bullet"/>
      <w:lvlText w:val=""/>
      <w:lvlJc w:val="left"/>
      <w:pPr>
        <w:ind w:left="2880" w:hanging="360"/>
      </w:pPr>
      <w:rPr>
        <w:rFonts w:ascii="Symbol" w:hAnsi="Symbol" w:hint="default"/>
      </w:rPr>
    </w:lvl>
    <w:lvl w:ilvl="4" w:tplc="80748152">
      <w:start w:val="1"/>
      <w:numFmt w:val="bullet"/>
      <w:lvlText w:val="o"/>
      <w:lvlJc w:val="left"/>
      <w:pPr>
        <w:ind w:left="3600" w:hanging="360"/>
      </w:pPr>
      <w:rPr>
        <w:rFonts w:ascii="Courier New" w:hAnsi="Courier New" w:hint="default"/>
      </w:rPr>
    </w:lvl>
    <w:lvl w:ilvl="5" w:tplc="BA58749E">
      <w:start w:val="1"/>
      <w:numFmt w:val="bullet"/>
      <w:lvlText w:val=""/>
      <w:lvlJc w:val="left"/>
      <w:pPr>
        <w:ind w:left="4320" w:hanging="360"/>
      </w:pPr>
      <w:rPr>
        <w:rFonts w:ascii="Wingdings" w:hAnsi="Wingdings" w:hint="default"/>
      </w:rPr>
    </w:lvl>
    <w:lvl w:ilvl="6" w:tplc="472E2804">
      <w:start w:val="1"/>
      <w:numFmt w:val="bullet"/>
      <w:lvlText w:val=""/>
      <w:lvlJc w:val="left"/>
      <w:pPr>
        <w:ind w:left="5040" w:hanging="360"/>
      </w:pPr>
      <w:rPr>
        <w:rFonts w:ascii="Symbol" w:hAnsi="Symbol" w:hint="default"/>
      </w:rPr>
    </w:lvl>
    <w:lvl w:ilvl="7" w:tplc="8A3ED396">
      <w:start w:val="1"/>
      <w:numFmt w:val="bullet"/>
      <w:lvlText w:val="o"/>
      <w:lvlJc w:val="left"/>
      <w:pPr>
        <w:ind w:left="5760" w:hanging="360"/>
      </w:pPr>
      <w:rPr>
        <w:rFonts w:ascii="Courier New" w:hAnsi="Courier New" w:hint="default"/>
      </w:rPr>
    </w:lvl>
    <w:lvl w:ilvl="8" w:tplc="AE30DEE8">
      <w:start w:val="1"/>
      <w:numFmt w:val="bullet"/>
      <w:lvlText w:val=""/>
      <w:lvlJc w:val="left"/>
      <w:pPr>
        <w:ind w:left="6480" w:hanging="360"/>
      </w:pPr>
      <w:rPr>
        <w:rFonts w:ascii="Wingdings" w:hAnsi="Wingdings" w:hint="default"/>
      </w:rPr>
    </w:lvl>
  </w:abstractNum>
  <w:abstractNum w:abstractNumId="17" w15:restartNumberingAfterBreak="0">
    <w:nsid w:val="46C53449"/>
    <w:multiLevelType w:val="hybridMultilevel"/>
    <w:tmpl w:val="35208600"/>
    <w:lvl w:ilvl="0" w:tplc="21BED5D0">
      <w:start w:val="13"/>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1733D"/>
    <w:multiLevelType w:val="hybridMultilevel"/>
    <w:tmpl w:val="682A9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C0132E0"/>
    <w:multiLevelType w:val="hybridMultilevel"/>
    <w:tmpl w:val="FFFFFFFF"/>
    <w:lvl w:ilvl="0" w:tplc="2D9AF136">
      <w:start w:val="1"/>
      <w:numFmt w:val="bullet"/>
      <w:lvlText w:val=""/>
      <w:lvlJc w:val="left"/>
      <w:pPr>
        <w:ind w:left="720" w:hanging="360"/>
      </w:pPr>
      <w:rPr>
        <w:rFonts w:ascii="Symbol" w:hAnsi="Symbol" w:hint="default"/>
      </w:rPr>
    </w:lvl>
    <w:lvl w:ilvl="1" w:tplc="694617A8">
      <w:start w:val="1"/>
      <w:numFmt w:val="bullet"/>
      <w:lvlText w:val="o"/>
      <w:lvlJc w:val="left"/>
      <w:pPr>
        <w:ind w:left="1440" w:hanging="360"/>
      </w:pPr>
      <w:rPr>
        <w:rFonts w:ascii="Courier New" w:hAnsi="Courier New" w:hint="default"/>
      </w:rPr>
    </w:lvl>
    <w:lvl w:ilvl="2" w:tplc="EAB83008">
      <w:start w:val="1"/>
      <w:numFmt w:val="bullet"/>
      <w:lvlText w:val=""/>
      <w:lvlJc w:val="left"/>
      <w:pPr>
        <w:ind w:left="2160" w:hanging="360"/>
      </w:pPr>
      <w:rPr>
        <w:rFonts w:ascii="Wingdings" w:hAnsi="Wingdings" w:hint="default"/>
      </w:rPr>
    </w:lvl>
    <w:lvl w:ilvl="3" w:tplc="FC2E26D0">
      <w:start w:val="1"/>
      <w:numFmt w:val="bullet"/>
      <w:lvlText w:val=""/>
      <w:lvlJc w:val="left"/>
      <w:pPr>
        <w:ind w:left="2880" w:hanging="360"/>
      </w:pPr>
      <w:rPr>
        <w:rFonts w:ascii="Symbol" w:hAnsi="Symbol" w:hint="default"/>
      </w:rPr>
    </w:lvl>
    <w:lvl w:ilvl="4" w:tplc="46DE3620">
      <w:start w:val="1"/>
      <w:numFmt w:val="bullet"/>
      <w:lvlText w:val="o"/>
      <w:lvlJc w:val="left"/>
      <w:pPr>
        <w:ind w:left="3600" w:hanging="360"/>
      </w:pPr>
      <w:rPr>
        <w:rFonts w:ascii="Courier New" w:hAnsi="Courier New" w:hint="default"/>
      </w:rPr>
    </w:lvl>
    <w:lvl w:ilvl="5" w:tplc="BFA6C70C">
      <w:start w:val="1"/>
      <w:numFmt w:val="bullet"/>
      <w:lvlText w:val=""/>
      <w:lvlJc w:val="left"/>
      <w:pPr>
        <w:ind w:left="4320" w:hanging="360"/>
      </w:pPr>
      <w:rPr>
        <w:rFonts w:ascii="Wingdings" w:hAnsi="Wingdings" w:hint="default"/>
      </w:rPr>
    </w:lvl>
    <w:lvl w:ilvl="6" w:tplc="964A23D2">
      <w:start w:val="1"/>
      <w:numFmt w:val="bullet"/>
      <w:lvlText w:val=""/>
      <w:lvlJc w:val="left"/>
      <w:pPr>
        <w:ind w:left="5040" w:hanging="360"/>
      </w:pPr>
      <w:rPr>
        <w:rFonts w:ascii="Symbol" w:hAnsi="Symbol" w:hint="default"/>
      </w:rPr>
    </w:lvl>
    <w:lvl w:ilvl="7" w:tplc="BC8A8EF2">
      <w:start w:val="1"/>
      <w:numFmt w:val="bullet"/>
      <w:lvlText w:val="o"/>
      <w:lvlJc w:val="left"/>
      <w:pPr>
        <w:ind w:left="5760" w:hanging="360"/>
      </w:pPr>
      <w:rPr>
        <w:rFonts w:ascii="Courier New" w:hAnsi="Courier New" w:hint="default"/>
      </w:rPr>
    </w:lvl>
    <w:lvl w:ilvl="8" w:tplc="5D12128C">
      <w:start w:val="1"/>
      <w:numFmt w:val="bullet"/>
      <w:lvlText w:val=""/>
      <w:lvlJc w:val="left"/>
      <w:pPr>
        <w:ind w:left="6480" w:hanging="360"/>
      </w:pPr>
      <w:rPr>
        <w:rFonts w:ascii="Wingdings" w:hAnsi="Wingdings" w:hint="default"/>
      </w:rPr>
    </w:lvl>
  </w:abstractNum>
  <w:abstractNum w:abstractNumId="20" w15:restartNumberingAfterBreak="0">
    <w:nsid w:val="4D36592A"/>
    <w:multiLevelType w:val="hybridMultilevel"/>
    <w:tmpl w:val="E7D20E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EA720DF"/>
    <w:multiLevelType w:val="hybridMultilevel"/>
    <w:tmpl w:val="613A72FE"/>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A73CCDD"/>
    <w:multiLevelType w:val="hybridMultilevel"/>
    <w:tmpl w:val="FFFFFFFF"/>
    <w:lvl w:ilvl="0" w:tplc="613CA85E">
      <w:start w:val="1"/>
      <w:numFmt w:val="bullet"/>
      <w:lvlText w:val=""/>
      <w:lvlJc w:val="left"/>
      <w:pPr>
        <w:ind w:left="720" w:hanging="360"/>
      </w:pPr>
      <w:rPr>
        <w:rFonts w:ascii="Symbol" w:hAnsi="Symbol" w:hint="default"/>
      </w:rPr>
    </w:lvl>
    <w:lvl w:ilvl="1" w:tplc="C0CE1676">
      <w:start w:val="1"/>
      <w:numFmt w:val="bullet"/>
      <w:lvlText w:val="o"/>
      <w:lvlJc w:val="left"/>
      <w:pPr>
        <w:ind w:left="1440" w:hanging="360"/>
      </w:pPr>
      <w:rPr>
        <w:rFonts w:ascii="Courier New" w:hAnsi="Courier New" w:hint="default"/>
      </w:rPr>
    </w:lvl>
    <w:lvl w:ilvl="2" w:tplc="FAAADA9E">
      <w:start w:val="1"/>
      <w:numFmt w:val="bullet"/>
      <w:lvlText w:val=""/>
      <w:lvlJc w:val="left"/>
      <w:pPr>
        <w:ind w:left="2160" w:hanging="360"/>
      </w:pPr>
      <w:rPr>
        <w:rFonts w:ascii="Wingdings" w:hAnsi="Wingdings" w:hint="default"/>
      </w:rPr>
    </w:lvl>
    <w:lvl w:ilvl="3" w:tplc="79066504">
      <w:start w:val="1"/>
      <w:numFmt w:val="bullet"/>
      <w:lvlText w:val=""/>
      <w:lvlJc w:val="left"/>
      <w:pPr>
        <w:ind w:left="2880" w:hanging="360"/>
      </w:pPr>
      <w:rPr>
        <w:rFonts w:ascii="Symbol" w:hAnsi="Symbol" w:hint="default"/>
      </w:rPr>
    </w:lvl>
    <w:lvl w:ilvl="4" w:tplc="A8D6AEE0">
      <w:start w:val="1"/>
      <w:numFmt w:val="bullet"/>
      <w:lvlText w:val="o"/>
      <w:lvlJc w:val="left"/>
      <w:pPr>
        <w:ind w:left="3600" w:hanging="360"/>
      </w:pPr>
      <w:rPr>
        <w:rFonts w:ascii="Courier New" w:hAnsi="Courier New" w:hint="default"/>
      </w:rPr>
    </w:lvl>
    <w:lvl w:ilvl="5" w:tplc="799CF086">
      <w:start w:val="1"/>
      <w:numFmt w:val="bullet"/>
      <w:lvlText w:val=""/>
      <w:lvlJc w:val="left"/>
      <w:pPr>
        <w:ind w:left="4320" w:hanging="360"/>
      </w:pPr>
      <w:rPr>
        <w:rFonts w:ascii="Wingdings" w:hAnsi="Wingdings" w:hint="default"/>
      </w:rPr>
    </w:lvl>
    <w:lvl w:ilvl="6" w:tplc="D19AA822">
      <w:start w:val="1"/>
      <w:numFmt w:val="bullet"/>
      <w:lvlText w:val=""/>
      <w:lvlJc w:val="left"/>
      <w:pPr>
        <w:ind w:left="5040" w:hanging="360"/>
      </w:pPr>
      <w:rPr>
        <w:rFonts w:ascii="Symbol" w:hAnsi="Symbol" w:hint="default"/>
      </w:rPr>
    </w:lvl>
    <w:lvl w:ilvl="7" w:tplc="9FF04AA0">
      <w:start w:val="1"/>
      <w:numFmt w:val="bullet"/>
      <w:lvlText w:val="o"/>
      <w:lvlJc w:val="left"/>
      <w:pPr>
        <w:ind w:left="5760" w:hanging="360"/>
      </w:pPr>
      <w:rPr>
        <w:rFonts w:ascii="Courier New" w:hAnsi="Courier New" w:hint="default"/>
      </w:rPr>
    </w:lvl>
    <w:lvl w:ilvl="8" w:tplc="381AB2FC">
      <w:start w:val="1"/>
      <w:numFmt w:val="bullet"/>
      <w:lvlText w:val=""/>
      <w:lvlJc w:val="left"/>
      <w:pPr>
        <w:ind w:left="6480" w:hanging="360"/>
      </w:pPr>
      <w:rPr>
        <w:rFonts w:ascii="Wingdings" w:hAnsi="Wingdings" w:hint="default"/>
      </w:rPr>
    </w:lvl>
  </w:abstractNum>
  <w:abstractNum w:abstractNumId="23" w15:restartNumberingAfterBreak="0">
    <w:nsid w:val="661A30BC"/>
    <w:multiLevelType w:val="multilevel"/>
    <w:tmpl w:val="C1BE4A60"/>
    <w:lvl w:ilvl="0">
      <w:start w:val="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D347DFF"/>
    <w:multiLevelType w:val="hybridMultilevel"/>
    <w:tmpl w:val="FFFFFFFF"/>
    <w:lvl w:ilvl="0" w:tplc="A768E9C0">
      <w:start w:val="1"/>
      <w:numFmt w:val="bullet"/>
      <w:lvlText w:val=""/>
      <w:lvlJc w:val="left"/>
      <w:pPr>
        <w:ind w:left="720" w:hanging="360"/>
      </w:pPr>
      <w:rPr>
        <w:rFonts w:ascii="Symbol" w:hAnsi="Symbol" w:hint="default"/>
      </w:rPr>
    </w:lvl>
    <w:lvl w:ilvl="1" w:tplc="1F6E34D4">
      <w:start w:val="1"/>
      <w:numFmt w:val="bullet"/>
      <w:lvlText w:val="o"/>
      <w:lvlJc w:val="left"/>
      <w:pPr>
        <w:ind w:left="1440" w:hanging="360"/>
      </w:pPr>
      <w:rPr>
        <w:rFonts w:ascii="Courier New" w:hAnsi="Courier New" w:hint="default"/>
      </w:rPr>
    </w:lvl>
    <w:lvl w:ilvl="2" w:tplc="33B2C0F0">
      <w:start w:val="1"/>
      <w:numFmt w:val="bullet"/>
      <w:lvlText w:val=""/>
      <w:lvlJc w:val="left"/>
      <w:pPr>
        <w:ind w:left="2160" w:hanging="360"/>
      </w:pPr>
      <w:rPr>
        <w:rFonts w:ascii="Wingdings" w:hAnsi="Wingdings" w:hint="default"/>
      </w:rPr>
    </w:lvl>
    <w:lvl w:ilvl="3" w:tplc="6BFC1A64">
      <w:start w:val="1"/>
      <w:numFmt w:val="bullet"/>
      <w:lvlText w:val=""/>
      <w:lvlJc w:val="left"/>
      <w:pPr>
        <w:ind w:left="2880" w:hanging="360"/>
      </w:pPr>
      <w:rPr>
        <w:rFonts w:ascii="Symbol" w:hAnsi="Symbol" w:hint="default"/>
      </w:rPr>
    </w:lvl>
    <w:lvl w:ilvl="4" w:tplc="F46EA794">
      <w:start w:val="1"/>
      <w:numFmt w:val="bullet"/>
      <w:lvlText w:val="o"/>
      <w:lvlJc w:val="left"/>
      <w:pPr>
        <w:ind w:left="3600" w:hanging="360"/>
      </w:pPr>
      <w:rPr>
        <w:rFonts w:ascii="Courier New" w:hAnsi="Courier New" w:hint="default"/>
      </w:rPr>
    </w:lvl>
    <w:lvl w:ilvl="5" w:tplc="457E56D6">
      <w:start w:val="1"/>
      <w:numFmt w:val="bullet"/>
      <w:lvlText w:val=""/>
      <w:lvlJc w:val="left"/>
      <w:pPr>
        <w:ind w:left="4320" w:hanging="360"/>
      </w:pPr>
      <w:rPr>
        <w:rFonts w:ascii="Wingdings" w:hAnsi="Wingdings" w:hint="default"/>
      </w:rPr>
    </w:lvl>
    <w:lvl w:ilvl="6" w:tplc="DF92622C">
      <w:start w:val="1"/>
      <w:numFmt w:val="bullet"/>
      <w:lvlText w:val=""/>
      <w:lvlJc w:val="left"/>
      <w:pPr>
        <w:ind w:left="5040" w:hanging="360"/>
      </w:pPr>
      <w:rPr>
        <w:rFonts w:ascii="Symbol" w:hAnsi="Symbol" w:hint="default"/>
      </w:rPr>
    </w:lvl>
    <w:lvl w:ilvl="7" w:tplc="898C5A52">
      <w:start w:val="1"/>
      <w:numFmt w:val="bullet"/>
      <w:lvlText w:val="o"/>
      <w:lvlJc w:val="left"/>
      <w:pPr>
        <w:ind w:left="5760" w:hanging="360"/>
      </w:pPr>
      <w:rPr>
        <w:rFonts w:ascii="Courier New" w:hAnsi="Courier New" w:hint="default"/>
      </w:rPr>
    </w:lvl>
    <w:lvl w:ilvl="8" w:tplc="8B6E97B0">
      <w:start w:val="1"/>
      <w:numFmt w:val="bullet"/>
      <w:lvlText w:val=""/>
      <w:lvlJc w:val="left"/>
      <w:pPr>
        <w:ind w:left="6480" w:hanging="360"/>
      </w:pPr>
      <w:rPr>
        <w:rFonts w:ascii="Wingdings" w:hAnsi="Wingdings" w:hint="default"/>
      </w:rPr>
    </w:lvl>
  </w:abstractNum>
  <w:abstractNum w:abstractNumId="25" w15:restartNumberingAfterBreak="0">
    <w:nsid w:val="6DD373B9"/>
    <w:multiLevelType w:val="multilevel"/>
    <w:tmpl w:val="AC466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A93D93"/>
    <w:multiLevelType w:val="multilevel"/>
    <w:tmpl w:val="E222C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A55008"/>
    <w:multiLevelType w:val="multilevel"/>
    <w:tmpl w:val="EE362018"/>
    <w:lvl w:ilvl="0">
      <w:start w:val="1"/>
      <w:numFmt w:val="bullet"/>
      <w:lvlText w:val=""/>
      <w:lvlJc w:val="left"/>
      <w:pPr>
        <w:ind w:left="420" w:hanging="420"/>
      </w:pPr>
      <w:rPr>
        <w:rFonts w:ascii="Symbol" w:hAnsi="Symbol"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27"/>
  </w:num>
  <w:num w:numId="3">
    <w:abstractNumId w:val="10"/>
  </w:num>
  <w:num w:numId="4">
    <w:abstractNumId w:val="1"/>
  </w:num>
  <w:num w:numId="5">
    <w:abstractNumId w:val="17"/>
  </w:num>
  <w:num w:numId="6">
    <w:abstractNumId w:val="2"/>
  </w:num>
  <w:num w:numId="7">
    <w:abstractNumId w:val="12"/>
  </w:num>
  <w:num w:numId="8">
    <w:abstractNumId w:val="4"/>
  </w:num>
  <w:num w:numId="9">
    <w:abstractNumId w:val="25"/>
  </w:num>
  <w:num w:numId="10">
    <w:abstractNumId w:val="26"/>
  </w:num>
  <w:num w:numId="11">
    <w:abstractNumId w:val="14"/>
  </w:num>
  <w:num w:numId="12">
    <w:abstractNumId w:val="20"/>
  </w:num>
  <w:num w:numId="13">
    <w:abstractNumId w:val="11"/>
  </w:num>
  <w:num w:numId="14">
    <w:abstractNumId w:val="9"/>
  </w:num>
  <w:num w:numId="15">
    <w:abstractNumId w:val="18"/>
  </w:num>
  <w:num w:numId="16">
    <w:abstractNumId w:val="7"/>
  </w:num>
  <w:num w:numId="17">
    <w:abstractNumId w:val="21"/>
  </w:num>
  <w:num w:numId="18">
    <w:abstractNumId w:val="13"/>
  </w:num>
  <w:num w:numId="19">
    <w:abstractNumId w:val="23"/>
  </w:num>
  <w:num w:numId="20">
    <w:abstractNumId w:val="19"/>
  </w:num>
  <w:num w:numId="21">
    <w:abstractNumId w:val="16"/>
  </w:num>
  <w:num w:numId="22">
    <w:abstractNumId w:val="22"/>
  </w:num>
  <w:num w:numId="23">
    <w:abstractNumId w:val="24"/>
  </w:num>
  <w:num w:numId="24">
    <w:abstractNumId w:val="0"/>
  </w:num>
  <w:num w:numId="25">
    <w:abstractNumId w:val="15"/>
  </w:num>
  <w:num w:numId="26">
    <w:abstractNumId w:val="6"/>
  </w:num>
  <w:num w:numId="27">
    <w:abstractNumId w:val="3"/>
  </w:num>
  <w:num w:numId="2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AD"/>
    <w:rsid w:val="00001C99"/>
    <w:rsid w:val="00002C55"/>
    <w:rsid w:val="0000668B"/>
    <w:rsid w:val="00007E00"/>
    <w:rsid w:val="00011FCA"/>
    <w:rsid w:val="00015DD2"/>
    <w:rsid w:val="00022718"/>
    <w:rsid w:val="00030318"/>
    <w:rsid w:val="00040742"/>
    <w:rsid w:val="00041A4A"/>
    <w:rsid w:val="000425FC"/>
    <w:rsid w:val="00044AA3"/>
    <w:rsid w:val="0004758D"/>
    <w:rsid w:val="00051FAE"/>
    <w:rsid w:val="00052C3F"/>
    <w:rsid w:val="00055DA7"/>
    <w:rsid w:val="00056702"/>
    <w:rsid w:val="00061F6D"/>
    <w:rsid w:val="00065A42"/>
    <w:rsid w:val="00067191"/>
    <w:rsid w:val="00070A5B"/>
    <w:rsid w:val="00070CDF"/>
    <w:rsid w:val="00075B67"/>
    <w:rsid w:val="00077CCD"/>
    <w:rsid w:val="00081970"/>
    <w:rsid w:val="00094A1F"/>
    <w:rsid w:val="00094AEF"/>
    <w:rsid w:val="000A225E"/>
    <w:rsid w:val="000A4172"/>
    <w:rsid w:val="000A4194"/>
    <w:rsid w:val="000A5D79"/>
    <w:rsid w:val="000B7BAD"/>
    <w:rsid w:val="000C1ABF"/>
    <w:rsid w:val="000C4D84"/>
    <w:rsid w:val="000D0CAA"/>
    <w:rsid w:val="000D7615"/>
    <w:rsid w:val="000E09A9"/>
    <w:rsid w:val="000E1508"/>
    <w:rsid w:val="000E24AC"/>
    <w:rsid w:val="000F5250"/>
    <w:rsid w:val="001003D4"/>
    <w:rsid w:val="001030DD"/>
    <w:rsid w:val="00105C33"/>
    <w:rsid w:val="00107884"/>
    <w:rsid w:val="00111370"/>
    <w:rsid w:val="001128F1"/>
    <w:rsid w:val="0011700D"/>
    <w:rsid w:val="001250EF"/>
    <w:rsid w:val="001324E3"/>
    <w:rsid w:val="00133A32"/>
    <w:rsid w:val="00137555"/>
    <w:rsid w:val="00143934"/>
    <w:rsid w:val="001512E3"/>
    <w:rsid w:val="00156ACF"/>
    <w:rsid w:val="00164843"/>
    <w:rsid w:val="00172126"/>
    <w:rsid w:val="00174FC7"/>
    <w:rsid w:val="00196DE5"/>
    <w:rsid w:val="00197FBB"/>
    <w:rsid w:val="001A04AA"/>
    <w:rsid w:val="001A1267"/>
    <w:rsid w:val="001A5F9D"/>
    <w:rsid w:val="001A66C3"/>
    <w:rsid w:val="001B02A9"/>
    <w:rsid w:val="001C46C4"/>
    <w:rsid w:val="001C5FA4"/>
    <w:rsid w:val="001C7132"/>
    <w:rsid w:val="001D280C"/>
    <w:rsid w:val="001D30A2"/>
    <w:rsid w:val="001D4260"/>
    <w:rsid w:val="001E0551"/>
    <w:rsid w:val="001E794E"/>
    <w:rsid w:val="001F28AF"/>
    <w:rsid w:val="00202A2D"/>
    <w:rsid w:val="002048C7"/>
    <w:rsid w:val="002074B1"/>
    <w:rsid w:val="0021206A"/>
    <w:rsid w:val="002151DA"/>
    <w:rsid w:val="0022278F"/>
    <w:rsid w:val="00232A56"/>
    <w:rsid w:val="002360F9"/>
    <w:rsid w:val="00240575"/>
    <w:rsid w:val="00250648"/>
    <w:rsid w:val="002636FF"/>
    <w:rsid w:val="00270910"/>
    <w:rsid w:val="0027298C"/>
    <w:rsid w:val="00275966"/>
    <w:rsid w:val="00280301"/>
    <w:rsid w:val="00281440"/>
    <w:rsid w:val="00290678"/>
    <w:rsid w:val="0029118C"/>
    <w:rsid w:val="00291DF9"/>
    <w:rsid w:val="002924C3"/>
    <w:rsid w:val="00292504"/>
    <w:rsid w:val="002939EB"/>
    <w:rsid w:val="00295353"/>
    <w:rsid w:val="002979B0"/>
    <w:rsid w:val="002A3E64"/>
    <w:rsid w:val="002A4849"/>
    <w:rsid w:val="002A538E"/>
    <w:rsid w:val="002A5BD2"/>
    <w:rsid w:val="002B7B95"/>
    <w:rsid w:val="002D3421"/>
    <w:rsid w:val="002D37A9"/>
    <w:rsid w:val="002D5AE7"/>
    <w:rsid w:val="002D5CBB"/>
    <w:rsid w:val="0030156A"/>
    <w:rsid w:val="00317EDC"/>
    <w:rsid w:val="00320A23"/>
    <w:rsid w:val="00320D1F"/>
    <w:rsid w:val="00320E93"/>
    <w:rsid w:val="00322CC4"/>
    <w:rsid w:val="00327D0B"/>
    <w:rsid w:val="0033230F"/>
    <w:rsid w:val="0033538B"/>
    <w:rsid w:val="00337D27"/>
    <w:rsid w:val="0034217B"/>
    <w:rsid w:val="0034275A"/>
    <w:rsid w:val="003503B0"/>
    <w:rsid w:val="00351875"/>
    <w:rsid w:val="0035509F"/>
    <w:rsid w:val="003552F0"/>
    <w:rsid w:val="00363D05"/>
    <w:rsid w:val="00367568"/>
    <w:rsid w:val="003741EF"/>
    <w:rsid w:val="00395C5D"/>
    <w:rsid w:val="003977EE"/>
    <w:rsid w:val="003A29D0"/>
    <w:rsid w:val="003A6711"/>
    <w:rsid w:val="003B7B75"/>
    <w:rsid w:val="003C1B22"/>
    <w:rsid w:val="003D34C0"/>
    <w:rsid w:val="003E2B8E"/>
    <w:rsid w:val="00410E00"/>
    <w:rsid w:val="00417805"/>
    <w:rsid w:val="00417EF6"/>
    <w:rsid w:val="004222E3"/>
    <w:rsid w:val="00422932"/>
    <w:rsid w:val="00424910"/>
    <w:rsid w:val="00427CF4"/>
    <w:rsid w:val="004319A4"/>
    <w:rsid w:val="004321B5"/>
    <w:rsid w:val="00445B10"/>
    <w:rsid w:val="00447C5E"/>
    <w:rsid w:val="00452E14"/>
    <w:rsid w:val="00457CD3"/>
    <w:rsid w:val="00466936"/>
    <w:rsid w:val="00473CBD"/>
    <w:rsid w:val="00474764"/>
    <w:rsid w:val="00476BAC"/>
    <w:rsid w:val="00486D98"/>
    <w:rsid w:val="00493303"/>
    <w:rsid w:val="004A2322"/>
    <w:rsid w:val="004B230D"/>
    <w:rsid w:val="004B63AD"/>
    <w:rsid w:val="004B703A"/>
    <w:rsid w:val="004C3C12"/>
    <w:rsid w:val="004C51C1"/>
    <w:rsid w:val="004C7B6E"/>
    <w:rsid w:val="004D32B0"/>
    <w:rsid w:val="004D6214"/>
    <w:rsid w:val="004D6470"/>
    <w:rsid w:val="004D6878"/>
    <w:rsid w:val="004E0909"/>
    <w:rsid w:val="004E1144"/>
    <w:rsid w:val="004F1C71"/>
    <w:rsid w:val="00500548"/>
    <w:rsid w:val="005107EE"/>
    <w:rsid w:val="00521DBF"/>
    <w:rsid w:val="00523C9F"/>
    <w:rsid w:val="00525FBE"/>
    <w:rsid w:val="00532B68"/>
    <w:rsid w:val="00535076"/>
    <w:rsid w:val="00541AAA"/>
    <w:rsid w:val="005424F7"/>
    <w:rsid w:val="00560F90"/>
    <w:rsid w:val="0056112D"/>
    <w:rsid w:val="00561DA7"/>
    <w:rsid w:val="00562290"/>
    <w:rsid w:val="005673CD"/>
    <w:rsid w:val="005744A4"/>
    <w:rsid w:val="00584946"/>
    <w:rsid w:val="0059248D"/>
    <w:rsid w:val="00593DEF"/>
    <w:rsid w:val="00594FD8"/>
    <w:rsid w:val="00596292"/>
    <w:rsid w:val="005A4222"/>
    <w:rsid w:val="005A5A35"/>
    <w:rsid w:val="005A7BCD"/>
    <w:rsid w:val="005B0746"/>
    <w:rsid w:val="005C114D"/>
    <w:rsid w:val="005D4FDE"/>
    <w:rsid w:val="005D6489"/>
    <w:rsid w:val="005E3B69"/>
    <w:rsid w:val="005F1AFF"/>
    <w:rsid w:val="005F70D2"/>
    <w:rsid w:val="00602CE7"/>
    <w:rsid w:val="00606966"/>
    <w:rsid w:val="00630134"/>
    <w:rsid w:val="0063155B"/>
    <w:rsid w:val="00635B72"/>
    <w:rsid w:val="00642DB3"/>
    <w:rsid w:val="00650397"/>
    <w:rsid w:val="006534F1"/>
    <w:rsid w:val="00661531"/>
    <w:rsid w:val="006616DA"/>
    <w:rsid w:val="00662A5F"/>
    <w:rsid w:val="00663E5F"/>
    <w:rsid w:val="00671708"/>
    <w:rsid w:val="006721BC"/>
    <w:rsid w:val="006748A5"/>
    <w:rsid w:val="00677A2B"/>
    <w:rsid w:val="00693DBD"/>
    <w:rsid w:val="006949F2"/>
    <w:rsid w:val="006950EC"/>
    <w:rsid w:val="006A1713"/>
    <w:rsid w:val="006A32E8"/>
    <w:rsid w:val="006A41BA"/>
    <w:rsid w:val="006B0151"/>
    <w:rsid w:val="006B46D2"/>
    <w:rsid w:val="006B5DB2"/>
    <w:rsid w:val="006C03C2"/>
    <w:rsid w:val="006C069E"/>
    <w:rsid w:val="006C3B21"/>
    <w:rsid w:val="006C6067"/>
    <w:rsid w:val="006D4BD6"/>
    <w:rsid w:val="006E026D"/>
    <w:rsid w:val="006E0490"/>
    <w:rsid w:val="006F0B4C"/>
    <w:rsid w:val="006F5441"/>
    <w:rsid w:val="006F586F"/>
    <w:rsid w:val="00707E51"/>
    <w:rsid w:val="00711EFB"/>
    <w:rsid w:val="00715447"/>
    <w:rsid w:val="0072119E"/>
    <w:rsid w:val="007232DC"/>
    <w:rsid w:val="00731CB8"/>
    <w:rsid w:val="00743806"/>
    <w:rsid w:val="00747C40"/>
    <w:rsid w:val="00765E11"/>
    <w:rsid w:val="00771F97"/>
    <w:rsid w:val="00773F60"/>
    <w:rsid w:val="007812B6"/>
    <w:rsid w:val="007841EA"/>
    <w:rsid w:val="00785BF4"/>
    <w:rsid w:val="0078723C"/>
    <w:rsid w:val="00793529"/>
    <w:rsid w:val="00795163"/>
    <w:rsid w:val="007A0AD9"/>
    <w:rsid w:val="007A3867"/>
    <w:rsid w:val="007B3DEE"/>
    <w:rsid w:val="007C7CF3"/>
    <w:rsid w:val="007D341C"/>
    <w:rsid w:val="007E4F79"/>
    <w:rsid w:val="007E63D8"/>
    <w:rsid w:val="007F3E7A"/>
    <w:rsid w:val="007F46A7"/>
    <w:rsid w:val="00805BF1"/>
    <w:rsid w:val="00807532"/>
    <w:rsid w:val="008220EC"/>
    <w:rsid w:val="00830D9B"/>
    <w:rsid w:val="00831C54"/>
    <w:rsid w:val="00832D31"/>
    <w:rsid w:val="00836D67"/>
    <w:rsid w:val="0083745C"/>
    <w:rsid w:val="008453D1"/>
    <w:rsid w:val="00851D30"/>
    <w:rsid w:val="00852A0D"/>
    <w:rsid w:val="0085359E"/>
    <w:rsid w:val="00861804"/>
    <w:rsid w:val="008629E7"/>
    <w:rsid w:val="00862D69"/>
    <w:rsid w:val="00870DB9"/>
    <w:rsid w:val="00874DC8"/>
    <w:rsid w:val="00883BF2"/>
    <w:rsid w:val="00887E6D"/>
    <w:rsid w:val="008914E3"/>
    <w:rsid w:val="00894BA4"/>
    <w:rsid w:val="008A1220"/>
    <w:rsid w:val="008A7605"/>
    <w:rsid w:val="008D0438"/>
    <w:rsid w:val="008D137D"/>
    <w:rsid w:val="008D5E95"/>
    <w:rsid w:val="008E51CD"/>
    <w:rsid w:val="008F0E2A"/>
    <w:rsid w:val="008F4EF8"/>
    <w:rsid w:val="008F529A"/>
    <w:rsid w:val="008F539B"/>
    <w:rsid w:val="008F6415"/>
    <w:rsid w:val="008F76DF"/>
    <w:rsid w:val="00900C3E"/>
    <w:rsid w:val="009011D6"/>
    <w:rsid w:val="00901776"/>
    <w:rsid w:val="0090415D"/>
    <w:rsid w:val="009065BA"/>
    <w:rsid w:val="0091152E"/>
    <w:rsid w:val="00915F91"/>
    <w:rsid w:val="00922494"/>
    <w:rsid w:val="00927BEA"/>
    <w:rsid w:val="00930388"/>
    <w:rsid w:val="00933EA7"/>
    <w:rsid w:val="0093495E"/>
    <w:rsid w:val="009404FC"/>
    <w:rsid w:val="00942B52"/>
    <w:rsid w:val="00947861"/>
    <w:rsid w:val="00950B75"/>
    <w:rsid w:val="00954B6F"/>
    <w:rsid w:val="00955B9F"/>
    <w:rsid w:val="0096017F"/>
    <w:rsid w:val="00965E79"/>
    <w:rsid w:val="00970E2A"/>
    <w:rsid w:val="00974D19"/>
    <w:rsid w:val="00975102"/>
    <w:rsid w:val="00980749"/>
    <w:rsid w:val="00991D6C"/>
    <w:rsid w:val="009B76A1"/>
    <w:rsid w:val="009C051D"/>
    <w:rsid w:val="009C0826"/>
    <w:rsid w:val="009C52D7"/>
    <w:rsid w:val="009D2979"/>
    <w:rsid w:val="009D6175"/>
    <w:rsid w:val="009D7756"/>
    <w:rsid w:val="009E4773"/>
    <w:rsid w:val="009E6CA4"/>
    <w:rsid w:val="009F52EB"/>
    <w:rsid w:val="009F73BE"/>
    <w:rsid w:val="00A133D2"/>
    <w:rsid w:val="00A20145"/>
    <w:rsid w:val="00A2382C"/>
    <w:rsid w:val="00A333FE"/>
    <w:rsid w:val="00A3436C"/>
    <w:rsid w:val="00A53376"/>
    <w:rsid w:val="00A56F5E"/>
    <w:rsid w:val="00A71D41"/>
    <w:rsid w:val="00A74EF1"/>
    <w:rsid w:val="00A800EA"/>
    <w:rsid w:val="00A84C60"/>
    <w:rsid w:val="00A90CDA"/>
    <w:rsid w:val="00A90D9C"/>
    <w:rsid w:val="00AA28F9"/>
    <w:rsid w:val="00AA55FD"/>
    <w:rsid w:val="00AB2FAA"/>
    <w:rsid w:val="00AC1836"/>
    <w:rsid w:val="00AC1EE4"/>
    <w:rsid w:val="00AC39CE"/>
    <w:rsid w:val="00AE23CB"/>
    <w:rsid w:val="00AF3CE0"/>
    <w:rsid w:val="00AF4120"/>
    <w:rsid w:val="00AF54D3"/>
    <w:rsid w:val="00AF5604"/>
    <w:rsid w:val="00AF6DB7"/>
    <w:rsid w:val="00B012D5"/>
    <w:rsid w:val="00B0274A"/>
    <w:rsid w:val="00B06617"/>
    <w:rsid w:val="00B10296"/>
    <w:rsid w:val="00B10E04"/>
    <w:rsid w:val="00B14F69"/>
    <w:rsid w:val="00B20868"/>
    <w:rsid w:val="00B21ADE"/>
    <w:rsid w:val="00B366C0"/>
    <w:rsid w:val="00B438E3"/>
    <w:rsid w:val="00B44824"/>
    <w:rsid w:val="00B46212"/>
    <w:rsid w:val="00B50C65"/>
    <w:rsid w:val="00B524DB"/>
    <w:rsid w:val="00B5313D"/>
    <w:rsid w:val="00B5785C"/>
    <w:rsid w:val="00B60DEB"/>
    <w:rsid w:val="00B643F2"/>
    <w:rsid w:val="00B6487F"/>
    <w:rsid w:val="00B65044"/>
    <w:rsid w:val="00B77E81"/>
    <w:rsid w:val="00B90CC1"/>
    <w:rsid w:val="00B92C0F"/>
    <w:rsid w:val="00B930EF"/>
    <w:rsid w:val="00B9337F"/>
    <w:rsid w:val="00BA0397"/>
    <w:rsid w:val="00BA4090"/>
    <w:rsid w:val="00BB55CE"/>
    <w:rsid w:val="00BB63DE"/>
    <w:rsid w:val="00BB7D17"/>
    <w:rsid w:val="00BD3AA8"/>
    <w:rsid w:val="00BE2E72"/>
    <w:rsid w:val="00BE719F"/>
    <w:rsid w:val="00BF1052"/>
    <w:rsid w:val="00BF641D"/>
    <w:rsid w:val="00C0528F"/>
    <w:rsid w:val="00C11335"/>
    <w:rsid w:val="00C12BED"/>
    <w:rsid w:val="00C1358E"/>
    <w:rsid w:val="00C17625"/>
    <w:rsid w:val="00C2424C"/>
    <w:rsid w:val="00C30A80"/>
    <w:rsid w:val="00C33976"/>
    <w:rsid w:val="00C46617"/>
    <w:rsid w:val="00C53999"/>
    <w:rsid w:val="00C576C5"/>
    <w:rsid w:val="00C57D75"/>
    <w:rsid w:val="00C57E96"/>
    <w:rsid w:val="00C64649"/>
    <w:rsid w:val="00C6734E"/>
    <w:rsid w:val="00C736E4"/>
    <w:rsid w:val="00C8712F"/>
    <w:rsid w:val="00C92656"/>
    <w:rsid w:val="00C93E90"/>
    <w:rsid w:val="00CA5082"/>
    <w:rsid w:val="00CB2D81"/>
    <w:rsid w:val="00CB564A"/>
    <w:rsid w:val="00CB7718"/>
    <w:rsid w:val="00CC5793"/>
    <w:rsid w:val="00CD07D7"/>
    <w:rsid w:val="00CD2858"/>
    <w:rsid w:val="00CD6B4D"/>
    <w:rsid w:val="00CD6F73"/>
    <w:rsid w:val="00CD71B4"/>
    <w:rsid w:val="00CE2341"/>
    <w:rsid w:val="00CE245E"/>
    <w:rsid w:val="00CE43A5"/>
    <w:rsid w:val="00CE5C25"/>
    <w:rsid w:val="00CE7184"/>
    <w:rsid w:val="00CF466B"/>
    <w:rsid w:val="00D04BBA"/>
    <w:rsid w:val="00D060E3"/>
    <w:rsid w:val="00D10438"/>
    <w:rsid w:val="00D133A1"/>
    <w:rsid w:val="00D14B74"/>
    <w:rsid w:val="00D3736B"/>
    <w:rsid w:val="00D5579B"/>
    <w:rsid w:val="00D55AC6"/>
    <w:rsid w:val="00D71319"/>
    <w:rsid w:val="00D74C66"/>
    <w:rsid w:val="00D806AD"/>
    <w:rsid w:val="00D930C8"/>
    <w:rsid w:val="00D977EA"/>
    <w:rsid w:val="00DA114C"/>
    <w:rsid w:val="00DC4A02"/>
    <w:rsid w:val="00DC525F"/>
    <w:rsid w:val="00DD1AC8"/>
    <w:rsid w:val="00DE7BD5"/>
    <w:rsid w:val="00DF3F22"/>
    <w:rsid w:val="00DF5749"/>
    <w:rsid w:val="00DF5FCA"/>
    <w:rsid w:val="00E105B2"/>
    <w:rsid w:val="00E12932"/>
    <w:rsid w:val="00E1609B"/>
    <w:rsid w:val="00E17D84"/>
    <w:rsid w:val="00E411FC"/>
    <w:rsid w:val="00E41597"/>
    <w:rsid w:val="00E4604C"/>
    <w:rsid w:val="00E51555"/>
    <w:rsid w:val="00E51637"/>
    <w:rsid w:val="00E54209"/>
    <w:rsid w:val="00E57A05"/>
    <w:rsid w:val="00E61941"/>
    <w:rsid w:val="00E6404C"/>
    <w:rsid w:val="00E65A6E"/>
    <w:rsid w:val="00E704D5"/>
    <w:rsid w:val="00E86204"/>
    <w:rsid w:val="00EA51C3"/>
    <w:rsid w:val="00EB0E95"/>
    <w:rsid w:val="00EB1C80"/>
    <w:rsid w:val="00EB6CA1"/>
    <w:rsid w:val="00EC3BC4"/>
    <w:rsid w:val="00ED597A"/>
    <w:rsid w:val="00ED5981"/>
    <w:rsid w:val="00EE5215"/>
    <w:rsid w:val="00EF2314"/>
    <w:rsid w:val="00EF4D06"/>
    <w:rsid w:val="00F0106F"/>
    <w:rsid w:val="00F132B9"/>
    <w:rsid w:val="00F17CB8"/>
    <w:rsid w:val="00F47309"/>
    <w:rsid w:val="00F5025E"/>
    <w:rsid w:val="00F53681"/>
    <w:rsid w:val="00F56A51"/>
    <w:rsid w:val="00F62F88"/>
    <w:rsid w:val="00F65889"/>
    <w:rsid w:val="00F67863"/>
    <w:rsid w:val="00F7287C"/>
    <w:rsid w:val="00F77845"/>
    <w:rsid w:val="00F813D8"/>
    <w:rsid w:val="00F85DE4"/>
    <w:rsid w:val="00F913A4"/>
    <w:rsid w:val="00F95BBD"/>
    <w:rsid w:val="00FA502D"/>
    <w:rsid w:val="00FA53F7"/>
    <w:rsid w:val="00FA557E"/>
    <w:rsid w:val="00FB02AB"/>
    <w:rsid w:val="00FB446B"/>
    <w:rsid w:val="00FC3525"/>
    <w:rsid w:val="00FC4779"/>
    <w:rsid w:val="00FD2641"/>
    <w:rsid w:val="00FD6AAE"/>
    <w:rsid w:val="00FE5874"/>
    <w:rsid w:val="00FF0251"/>
    <w:rsid w:val="023E62D0"/>
    <w:rsid w:val="0347E7C8"/>
    <w:rsid w:val="03D5629E"/>
    <w:rsid w:val="04806FED"/>
    <w:rsid w:val="05546EBA"/>
    <w:rsid w:val="061CE973"/>
    <w:rsid w:val="06F2C7C4"/>
    <w:rsid w:val="082E2982"/>
    <w:rsid w:val="08A9FD42"/>
    <w:rsid w:val="0A6DC9E4"/>
    <w:rsid w:val="0C6748EC"/>
    <w:rsid w:val="0C74E342"/>
    <w:rsid w:val="0C95F924"/>
    <w:rsid w:val="0D199787"/>
    <w:rsid w:val="0D84A05E"/>
    <w:rsid w:val="0DD69BCA"/>
    <w:rsid w:val="0DEF257A"/>
    <w:rsid w:val="0E205CA7"/>
    <w:rsid w:val="0EBD39A9"/>
    <w:rsid w:val="1195E0E3"/>
    <w:rsid w:val="13BAE846"/>
    <w:rsid w:val="14D726E3"/>
    <w:rsid w:val="1625363E"/>
    <w:rsid w:val="1747D8EA"/>
    <w:rsid w:val="18AA7570"/>
    <w:rsid w:val="1905C08C"/>
    <w:rsid w:val="1B50F633"/>
    <w:rsid w:val="1B9487F6"/>
    <w:rsid w:val="1BC6BAF0"/>
    <w:rsid w:val="1CE5AFFB"/>
    <w:rsid w:val="1DE3EDE6"/>
    <w:rsid w:val="1E550A77"/>
    <w:rsid w:val="1E98F21E"/>
    <w:rsid w:val="1EE2A6D9"/>
    <w:rsid w:val="1FA88E4D"/>
    <w:rsid w:val="21472F3B"/>
    <w:rsid w:val="21581DB3"/>
    <w:rsid w:val="22313544"/>
    <w:rsid w:val="2297B3E5"/>
    <w:rsid w:val="2375D461"/>
    <w:rsid w:val="24985E1D"/>
    <w:rsid w:val="26725A34"/>
    <w:rsid w:val="270B4B27"/>
    <w:rsid w:val="278865E2"/>
    <w:rsid w:val="299E5145"/>
    <w:rsid w:val="2A91B12D"/>
    <w:rsid w:val="2B19F694"/>
    <w:rsid w:val="2BA1276D"/>
    <w:rsid w:val="2BEC1A8F"/>
    <w:rsid w:val="2D231727"/>
    <w:rsid w:val="2D4FF9E1"/>
    <w:rsid w:val="2D68A953"/>
    <w:rsid w:val="2D86A4B2"/>
    <w:rsid w:val="2E80B506"/>
    <w:rsid w:val="2F722465"/>
    <w:rsid w:val="300CA353"/>
    <w:rsid w:val="30CEF713"/>
    <w:rsid w:val="322EAA3B"/>
    <w:rsid w:val="3369E806"/>
    <w:rsid w:val="33A4FE86"/>
    <w:rsid w:val="3414302E"/>
    <w:rsid w:val="35DED1DA"/>
    <w:rsid w:val="35E88078"/>
    <w:rsid w:val="372C4FBD"/>
    <w:rsid w:val="37D98A89"/>
    <w:rsid w:val="38275367"/>
    <w:rsid w:val="39736912"/>
    <w:rsid w:val="39EC040B"/>
    <w:rsid w:val="3ADAC731"/>
    <w:rsid w:val="3D227D9B"/>
    <w:rsid w:val="3D39FDDE"/>
    <w:rsid w:val="3DD40BB7"/>
    <w:rsid w:val="3E2A3FEB"/>
    <w:rsid w:val="3F6C0849"/>
    <w:rsid w:val="3FD70117"/>
    <w:rsid w:val="408DB9B3"/>
    <w:rsid w:val="40B28A53"/>
    <w:rsid w:val="438DD9E9"/>
    <w:rsid w:val="45945E8F"/>
    <w:rsid w:val="4625ADA0"/>
    <w:rsid w:val="4645C20F"/>
    <w:rsid w:val="47A412F7"/>
    <w:rsid w:val="48FDCD9F"/>
    <w:rsid w:val="49D5F019"/>
    <w:rsid w:val="4C9DFC30"/>
    <w:rsid w:val="4DBDEDF4"/>
    <w:rsid w:val="506D1959"/>
    <w:rsid w:val="507912D6"/>
    <w:rsid w:val="508AA55C"/>
    <w:rsid w:val="50DEBF07"/>
    <w:rsid w:val="52DAC843"/>
    <w:rsid w:val="53EB28CB"/>
    <w:rsid w:val="55685251"/>
    <w:rsid w:val="56542B42"/>
    <w:rsid w:val="5710D52B"/>
    <w:rsid w:val="5783E42E"/>
    <w:rsid w:val="5924B48C"/>
    <w:rsid w:val="593114E7"/>
    <w:rsid w:val="59422AF8"/>
    <w:rsid w:val="5A6E7380"/>
    <w:rsid w:val="5CFD0335"/>
    <w:rsid w:val="5DD03308"/>
    <w:rsid w:val="5E93DCDB"/>
    <w:rsid w:val="5F18AC92"/>
    <w:rsid w:val="5F5C93AC"/>
    <w:rsid w:val="5F78B534"/>
    <w:rsid w:val="60145235"/>
    <w:rsid w:val="602D1827"/>
    <w:rsid w:val="60AEBFBB"/>
    <w:rsid w:val="60CEC71B"/>
    <w:rsid w:val="6116C7B9"/>
    <w:rsid w:val="61A53767"/>
    <w:rsid w:val="6287978F"/>
    <w:rsid w:val="633812EE"/>
    <w:rsid w:val="64560140"/>
    <w:rsid w:val="64BE4C2F"/>
    <w:rsid w:val="653C1FDE"/>
    <w:rsid w:val="653CF76B"/>
    <w:rsid w:val="659C19FC"/>
    <w:rsid w:val="67551D06"/>
    <w:rsid w:val="677BF903"/>
    <w:rsid w:val="677E3D93"/>
    <w:rsid w:val="67810FFA"/>
    <w:rsid w:val="6A6226EF"/>
    <w:rsid w:val="6C177725"/>
    <w:rsid w:val="6C671819"/>
    <w:rsid w:val="6D69FC90"/>
    <w:rsid w:val="6FA804F2"/>
    <w:rsid w:val="70250C50"/>
    <w:rsid w:val="707D9A95"/>
    <w:rsid w:val="710B65D5"/>
    <w:rsid w:val="72063ECA"/>
    <w:rsid w:val="72B6CA6A"/>
    <w:rsid w:val="7342DFA5"/>
    <w:rsid w:val="75278A3C"/>
    <w:rsid w:val="75E2FBAD"/>
    <w:rsid w:val="765AAAC8"/>
    <w:rsid w:val="77147981"/>
    <w:rsid w:val="774D2D73"/>
    <w:rsid w:val="77941AF2"/>
    <w:rsid w:val="77AA65BE"/>
    <w:rsid w:val="7B57F294"/>
    <w:rsid w:val="7BAA85CE"/>
    <w:rsid w:val="7C17FB16"/>
    <w:rsid w:val="7E439C5D"/>
    <w:rsid w:val="7EDC4FCA"/>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1767A8-08C3-4A49-B0DD-EF8930A0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EF1"/>
    <w:pPr>
      <w:spacing w:after="200" w:line="276" w:lineRule="auto"/>
    </w:pPr>
    <w:rPr>
      <w:kern w:val="0"/>
      <w:lang w:val="en-US"/>
    </w:rPr>
  </w:style>
  <w:style w:type="paragraph" w:styleId="Heading1">
    <w:name w:val="heading 1"/>
    <w:basedOn w:val="Normal"/>
    <w:next w:val="Normal"/>
    <w:link w:val="Heading1Char"/>
    <w:uiPriority w:val="9"/>
    <w:qFormat/>
    <w:rsid w:val="00D806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06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06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06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06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0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6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06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06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06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06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0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6AD"/>
    <w:rPr>
      <w:rFonts w:eastAsiaTheme="majorEastAsia" w:cstheme="majorBidi"/>
      <w:color w:val="272727" w:themeColor="text1" w:themeTint="D8"/>
    </w:rPr>
  </w:style>
  <w:style w:type="paragraph" w:styleId="Title">
    <w:name w:val="Title"/>
    <w:basedOn w:val="Normal"/>
    <w:next w:val="Normal"/>
    <w:link w:val="TitleChar"/>
    <w:uiPriority w:val="10"/>
    <w:qFormat/>
    <w:rsid w:val="00D80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6AD"/>
    <w:pPr>
      <w:spacing w:before="160"/>
      <w:jc w:val="center"/>
    </w:pPr>
    <w:rPr>
      <w:i/>
      <w:iCs/>
      <w:color w:val="404040" w:themeColor="text1" w:themeTint="BF"/>
    </w:rPr>
  </w:style>
  <w:style w:type="character" w:customStyle="1" w:styleId="QuoteChar">
    <w:name w:val="Quote Char"/>
    <w:basedOn w:val="DefaultParagraphFont"/>
    <w:link w:val="Quote"/>
    <w:uiPriority w:val="29"/>
    <w:rsid w:val="00D806AD"/>
    <w:rPr>
      <w:i/>
      <w:iCs/>
      <w:color w:val="404040" w:themeColor="text1" w:themeTint="BF"/>
    </w:rPr>
  </w:style>
  <w:style w:type="paragraph" w:styleId="ListParagraph">
    <w:name w:val="List Paragraph"/>
    <w:aliases w:val="Ril BOdy"/>
    <w:basedOn w:val="Normal"/>
    <w:link w:val="ListParagraphChar"/>
    <w:uiPriority w:val="34"/>
    <w:qFormat/>
    <w:rsid w:val="00D806AD"/>
    <w:pPr>
      <w:ind w:left="720"/>
      <w:contextualSpacing/>
    </w:pPr>
  </w:style>
  <w:style w:type="character" w:styleId="IntenseEmphasis">
    <w:name w:val="Intense Emphasis"/>
    <w:basedOn w:val="DefaultParagraphFont"/>
    <w:uiPriority w:val="21"/>
    <w:qFormat/>
    <w:rsid w:val="00D806AD"/>
    <w:rPr>
      <w:i/>
      <w:iCs/>
      <w:color w:val="2F5496" w:themeColor="accent1" w:themeShade="BF"/>
    </w:rPr>
  </w:style>
  <w:style w:type="paragraph" w:styleId="IntenseQuote">
    <w:name w:val="Intense Quote"/>
    <w:basedOn w:val="Normal"/>
    <w:next w:val="Normal"/>
    <w:link w:val="IntenseQuoteChar"/>
    <w:uiPriority w:val="30"/>
    <w:qFormat/>
    <w:rsid w:val="00D806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06AD"/>
    <w:rPr>
      <w:i/>
      <w:iCs/>
      <w:color w:val="2F5496" w:themeColor="accent1" w:themeShade="BF"/>
    </w:rPr>
  </w:style>
  <w:style w:type="character" w:styleId="IntenseReference">
    <w:name w:val="Intense Reference"/>
    <w:basedOn w:val="DefaultParagraphFont"/>
    <w:uiPriority w:val="32"/>
    <w:qFormat/>
    <w:rsid w:val="00D806AD"/>
    <w:rPr>
      <w:b/>
      <w:bCs/>
      <w:smallCaps/>
      <w:color w:val="2F5496" w:themeColor="accent1" w:themeShade="BF"/>
      <w:spacing w:val="5"/>
    </w:rPr>
  </w:style>
  <w:style w:type="character" w:styleId="Hyperlink">
    <w:name w:val="Hyperlink"/>
    <w:basedOn w:val="DefaultParagraphFont"/>
    <w:uiPriority w:val="99"/>
    <w:unhideWhenUsed/>
    <w:rsid w:val="00D806AD"/>
    <w:rPr>
      <w:color w:val="0563C1" w:themeColor="hyperlink"/>
      <w:u w:val="single"/>
    </w:rPr>
  </w:style>
  <w:style w:type="character" w:customStyle="1" w:styleId="UnresolvedMention1">
    <w:name w:val="Unresolved Mention1"/>
    <w:basedOn w:val="DefaultParagraphFont"/>
    <w:uiPriority w:val="99"/>
    <w:semiHidden/>
    <w:unhideWhenUsed/>
    <w:rsid w:val="00D806AD"/>
    <w:rPr>
      <w:color w:val="605E5C"/>
      <w:shd w:val="clear" w:color="auto" w:fill="E1DFDD"/>
    </w:rPr>
  </w:style>
  <w:style w:type="paragraph" w:styleId="NoSpacing">
    <w:name w:val="No Spacing"/>
    <w:link w:val="NoSpacingChar"/>
    <w:uiPriority w:val="1"/>
    <w:qFormat/>
    <w:rsid w:val="00D806A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D806AD"/>
    <w:rPr>
      <w:rFonts w:eastAsiaTheme="minorEastAsia"/>
      <w:kern w:val="0"/>
      <w:lang w:val="en-US"/>
    </w:rPr>
  </w:style>
  <w:style w:type="paragraph" w:styleId="NormalWeb">
    <w:name w:val="Normal (Web)"/>
    <w:basedOn w:val="Normal"/>
    <w:uiPriority w:val="99"/>
    <w:unhideWhenUsed/>
    <w:rsid w:val="00D806AD"/>
    <w:pPr>
      <w:spacing w:after="160" w:line="259" w:lineRule="auto"/>
    </w:pPr>
    <w:rPr>
      <w:rFonts w:ascii="Times New Roman" w:hAnsi="Times New Roman" w:cs="Times New Roman"/>
      <w:kern w:val="2"/>
      <w:sz w:val="24"/>
      <w:szCs w:val="24"/>
      <w:lang w:val="en-IN"/>
    </w:rPr>
  </w:style>
  <w:style w:type="character" w:styleId="Strong">
    <w:name w:val="Strong"/>
    <w:basedOn w:val="DefaultParagraphFont"/>
    <w:uiPriority w:val="22"/>
    <w:qFormat/>
    <w:rsid w:val="00D806AD"/>
    <w:rPr>
      <w:b/>
      <w:bCs/>
    </w:rPr>
  </w:style>
  <w:style w:type="paragraph" w:styleId="Header">
    <w:name w:val="header"/>
    <w:basedOn w:val="Normal"/>
    <w:link w:val="HeaderChar"/>
    <w:uiPriority w:val="99"/>
    <w:unhideWhenUsed/>
    <w:rsid w:val="00D806AD"/>
    <w:pPr>
      <w:tabs>
        <w:tab w:val="center" w:pos="4513"/>
        <w:tab w:val="right" w:pos="9026"/>
      </w:tabs>
      <w:spacing w:after="0" w:line="240" w:lineRule="auto"/>
    </w:pPr>
    <w:rPr>
      <w:kern w:val="2"/>
      <w:lang w:val="en-IN"/>
    </w:rPr>
  </w:style>
  <w:style w:type="character" w:customStyle="1" w:styleId="HeaderChar">
    <w:name w:val="Header Char"/>
    <w:basedOn w:val="DefaultParagraphFont"/>
    <w:link w:val="Header"/>
    <w:uiPriority w:val="99"/>
    <w:rsid w:val="00D806AD"/>
  </w:style>
  <w:style w:type="paragraph" w:styleId="Footer">
    <w:name w:val="footer"/>
    <w:basedOn w:val="Normal"/>
    <w:link w:val="FooterChar"/>
    <w:uiPriority w:val="99"/>
    <w:unhideWhenUsed/>
    <w:rsid w:val="00D806AD"/>
    <w:pPr>
      <w:tabs>
        <w:tab w:val="center" w:pos="4513"/>
        <w:tab w:val="right" w:pos="9026"/>
      </w:tabs>
      <w:spacing w:after="0" w:line="240" w:lineRule="auto"/>
    </w:pPr>
    <w:rPr>
      <w:kern w:val="2"/>
      <w:lang w:val="en-IN"/>
    </w:rPr>
  </w:style>
  <w:style w:type="character" w:customStyle="1" w:styleId="FooterChar">
    <w:name w:val="Footer Char"/>
    <w:basedOn w:val="DefaultParagraphFont"/>
    <w:link w:val="Footer"/>
    <w:uiPriority w:val="99"/>
    <w:rsid w:val="00D806AD"/>
  </w:style>
  <w:style w:type="table" w:styleId="TableGrid">
    <w:name w:val="Table Grid"/>
    <w:basedOn w:val="TableNormal"/>
    <w:uiPriority w:val="39"/>
    <w:rsid w:val="00D80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D806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D806AD"/>
    <w:rPr>
      <w:sz w:val="16"/>
      <w:szCs w:val="16"/>
    </w:rPr>
  </w:style>
  <w:style w:type="paragraph" w:styleId="CommentText">
    <w:name w:val="annotation text"/>
    <w:basedOn w:val="Normal"/>
    <w:link w:val="CommentTextChar"/>
    <w:uiPriority w:val="99"/>
    <w:semiHidden/>
    <w:unhideWhenUsed/>
    <w:rsid w:val="00D806AD"/>
    <w:pPr>
      <w:spacing w:after="160" w:line="240" w:lineRule="auto"/>
    </w:pPr>
    <w:rPr>
      <w:kern w:val="2"/>
      <w:sz w:val="20"/>
      <w:szCs w:val="20"/>
      <w:lang w:val="en-IN"/>
    </w:rPr>
  </w:style>
  <w:style w:type="character" w:customStyle="1" w:styleId="CommentTextChar">
    <w:name w:val="Comment Text Char"/>
    <w:basedOn w:val="DefaultParagraphFont"/>
    <w:link w:val="CommentText"/>
    <w:uiPriority w:val="99"/>
    <w:semiHidden/>
    <w:rsid w:val="00D806AD"/>
    <w:rPr>
      <w:sz w:val="20"/>
      <w:szCs w:val="20"/>
    </w:rPr>
  </w:style>
  <w:style w:type="paragraph" w:styleId="CommentSubject">
    <w:name w:val="annotation subject"/>
    <w:basedOn w:val="CommentText"/>
    <w:next w:val="CommentText"/>
    <w:link w:val="CommentSubjectChar"/>
    <w:uiPriority w:val="99"/>
    <w:semiHidden/>
    <w:unhideWhenUsed/>
    <w:rsid w:val="00D806AD"/>
    <w:rPr>
      <w:b/>
      <w:bCs/>
    </w:rPr>
  </w:style>
  <w:style w:type="character" w:customStyle="1" w:styleId="CommentSubjectChar">
    <w:name w:val="Comment Subject Char"/>
    <w:basedOn w:val="CommentTextChar"/>
    <w:link w:val="CommentSubject"/>
    <w:uiPriority w:val="99"/>
    <w:semiHidden/>
    <w:rsid w:val="00D806AD"/>
    <w:rPr>
      <w:b/>
      <w:bCs/>
      <w:sz w:val="20"/>
      <w:szCs w:val="20"/>
    </w:rPr>
  </w:style>
  <w:style w:type="character" w:styleId="Emphasis">
    <w:name w:val="Emphasis"/>
    <w:basedOn w:val="DefaultParagraphFont"/>
    <w:uiPriority w:val="20"/>
    <w:qFormat/>
    <w:rsid w:val="00D806AD"/>
    <w:rPr>
      <w:i/>
      <w:iCs/>
    </w:rPr>
  </w:style>
  <w:style w:type="paragraph" w:styleId="BalloonText">
    <w:name w:val="Balloon Text"/>
    <w:basedOn w:val="Normal"/>
    <w:link w:val="BalloonTextChar"/>
    <w:uiPriority w:val="99"/>
    <w:semiHidden/>
    <w:unhideWhenUsed/>
    <w:rsid w:val="00111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370"/>
    <w:rPr>
      <w:rFonts w:ascii="Segoe UI" w:hAnsi="Segoe UI" w:cs="Segoe UI"/>
      <w:kern w:val="0"/>
      <w:sz w:val="18"/>
      <w:szCs w:val="18"/>
      <w:lang w:val="en-US"/>
    </w:rPr>
  </w:style>
  <w:style w:type="character" w:customStyle="1" w:styleId="ListParagraphChar">
    <w:name w:val="List Paragraph Char"/>
    <w:aliases w:val="Ril BOdy Char"/>
    <w:link w:val="ListParagraph"/>
    <w:uiPriority w:val="34"/>
    <w:rsid w:val="007E63D8"/>
    <w:rPr>
      <w:kern w:val="0"/>
      <w:lang w:val="en-US"/>
    </w:rPr>
  </w:style>
  <w:style w:type="paragraph" w:styleId="BodyText">
    <w:name w:val="Body Text"/>
    <w:basedOn w:val="Normal"/>
    <w:link w:val="BodyTextChar"/>
    <w:uiPriority w:val="1"/>
    <w:qFormat/>
    <w:rsid w:val="006A32E8"/>
    <w:pPr>
      <w:widowControl w:val="0"/>
      <w:spacing w:after="0" w:line="240" w:lineRule="auto"/>
      <w:ind w:left="386" w:hanging="266"/>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A32E8"/>
    <w:rPr>
      <w:rFonts w:ascii="Times New Roman" w:eastAsia="Times New Roman" w:hAnsi="Times New Roman"/>
      <w:kern w:val="0"/>
      <w:sz w:val="24"/>
      <w:szCs w:val="24"/>
      <w:lang w:val="en-US"/>
    </w:rPr>
  </w:style>
  <w:style w:type="paragraph" w:customStyle="1" w:styleId="TableParagraph">
    <w:name w:val="Table Paragraph"/>
    <w:basedOn w:val="Normal"/>
    <w:uiPriority w:val="1"/>
    <w:qFormat/>
    <w:rsid w:val="006A32E8"/>
    <w:pPr>
      <w:widowControl w:val="0"/>
      <w:spacing w:after="0" w:line="240" w:lineRule="auto"/>
    </w:pPr>
  </w:style>
  <w:style w:type="character" w:customStyle="1" w:styleId="whitespace-normal">
    <w:name w:val="whitespace-normal"/>
    <w:basedOn w:val="DefaultParagraphFont"/>
    <w:rsid w:val="00954B6F"/>
  </w:style>
  <w:style w:type="paragraph" w:styleId="z-TopofForm">
    <w:name w:val="HTML Top of Form"/>
    <w:basedOn w:val="Normal"/>
    <w:next w:val="Normal"/>
    <w:link w:val="z-TopofFormChar"/>
    <w:hidden/>
    <w:uiPriority w:val="99"/>
    <w:semiHidden/>
    <w:unhideWhenUsed/>
    <w:rsid w:val="00954B6F"/>
    <w:pPr>
      <w:pBdr>
        <w:bottom w:val="single" w:sz="6" w:space="1" w:color="auto"/>
      </w:pBdr>
      <w:spacing w:after="0" w:line="240" w:lineRule="auto"/>
      <w:jc w:val="center"/>
    </w:pPr>
    <w:rPr>
      <w:rFonts w:ascii="Arial" w:eastAsia="Times New Roman" w:hAnsi="Arial" w:cs="Arial"/>
      <w:vanish/>
      <w:sz w:val="16"/>
      <w:szCs w:val="16"/>
      <w:lang w:bidi="ml-IN"/>
    </w:rPr>
  </w:style>
  <w:style w:type="character" w:customStyle="1" w:styleId="z-TopofFormChar">
    <w:name w:val="z-Top of Form Char"/>
    <w:basedOn w:val="DefaultParagraphFont"/>
    <w:link w:val="z-TopofForm"/>
    <w:uiPriority w:val="99"/>
    <w:semiHidden/>
    <w:rsid w:val="00954B6F"/>
    <w:rPr>
      <w:rFonts w:ascii="Arial" w:eastAsia="Times New Roman" w:hAnsi="Arial" w:cs="Arial"/>
      <w:vanish/>
      <w:kern w:val="0"/>
      <w:sz w:val="16"/>
      <w:szCs w:val="16"/>
      <w:lang w:val="en-US" w:bidi="ml-IN"/>
    </w:rPr>
  </w:style>
  <w:style w:type="paragraph" w:customStyle="1" w:styleId="placeholder">
    <w:name w:val="placeholder"/>
    <w:basedOn w:val="Normal"/>
    <w:rsid w:val="00954B6F"/>
    <w:pPr>
      <w:spacing w:before="100" w:beforeAutospacing="1" w:after="100" w:afterAutospacing="1" w:line="240" w:lineRule="auto"/>
    </w:pPr>
    <w:rPr>
      <w:rFonts w:ascii="Times New Roman" w:eastAsia="Times New Roman" w:hAnsi="Times New Roman" w:cs="Times New Roman"/>
      <w:sz w:val="24"/>
      <w:szCs w:val="24"/>
      <w:lang w:bidi="ml-IN"/>
    </w:rPr>
  </w:style>
  <w:style w:type="paragraph" w:styleId="z-BottomofForm">
    <w:name w:val="HTML Bottom of Form"/>
    <w:basedOn w:val="Normal"/>
    <w:next w:val="Normal"/>
    <w:link w:val="z-BottomofFormChar"/>
    <w:hidden/>
    <w:uiPriority w:val="99"/>
    <w:semiHidden/>
    <w:unhideWhenUsed/>
    <w:rsid w:val="00954B6F"/>
    <w:pPr>
      <w:pBdr>
        <w:top w:val="single" w:sz="6" w:space="1" w:color="auto"/>
      </w:pBdr>
      <w:spacing w:after="0" w:line="240" w:lineRule="auto"/>
      <w:jc w:val="center"/>
    </w:pPr>
    <w:rPr>
      <w:rFonts w:ascii="Arial" w:eastAsia="Times New Roman" w:hAnsi="Arial" w:cs="Arial"/>
      <w:vanish/>
      <w:sz w:val="16"/>
      <w:szCs w:val="16"/>
      <w:lang w:bidi="ml-IN"/>
    </w:rPr>
  </w:style>
  <w:style w:type="character" w:customStyle="1" w:styleId="z-BottomofFormChar">
    <w:name w:val="z-Bottom of Form Char"/>
    <w:basedOn w:val="DefaultParagraphFont"/>
    <w:link w:val="z-BottomofForm"/>
    <w:uiPriority w:val="99"/>
    <w:semiHidden/>
    <w:rsid w:val="00954B6F"/>
    <w:rPr>
      <w:rFonts w:ascii="Arial" w:eastAsia="Times New Roman" w:hAnsi="Arial" w:cs="Arial"/>
      <w:vanish/>
      <w:kern w:val="0"/>
      <w:sz w:val="16"/>
      <w:szCs w:val="16"/>
      <w:lang w:val="en-US" w:bidi="ml-IN"/>
    </w:rPr>
  </w:style>
  <w:style w:type="character" w:customStyle="1" w:styleId="katex-mathml">
    <w:name w:val="katex-mathml"/>
    <w:basedOn w:val="DefaultParagraphFont"/>
    <w:rsid w:val="00C736E4"/>
  </w:style>
  <w:style w:type="character" w:customStyle="1" w:styleId="mord">
    <w:name w:val="mord"/>
    <w:basedOn w:val="DefaultParagraphFont"/>
    <w:rsid w:val="00C736E4"/>
  </w:style>
  <w:style w:type="character" w:customStyle="1" w:styleId="mrel">
    <w:name w:val="mrel"/>
    <w:basedOn w:val="DefaultParagraphFont"/>
    <w:rsid w:val="00C736E4"/>
  </w:style>
  <w:style w:type="character" w:customStyle="1" w:styleId="vlist-s">
    <w:name w:val="vlist-s"/>
    <w:basedOn w:val="DefaultParagraphFont"/>
    <w:rsid w:val="00C736E4"/>
  </w:style>
  <w:style w:type="character" w:customStyle="1" w:styleId="mbin">
    <w:name w:val="mbin"/>
    <w:basedOn w:val="DefaultParagraphFont"/>
    <w:rsid w:val="00C736E4"/>
  </w:style>
  <w:style w:type="paragraph" w:customStyle="1" w:styleId="LO-normal">
    <w:name w:val="LO-normal"/>
    <w:rsid w:val="009F73BE"/>
    <w:pPr>
      <w:suppressAutoHyphens/>
      <w:spacing w:line="254" w:lineRule="auto"/>
    </w:pPr>
    <w:rPr>
      <w:rFonts w:ascii="Calibri" w:eastAsia="Calibri" w:hAnsi="Calibri" w:cs="Calibri"/>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83295">
      <w:bodyDiv w:val="1"/>
      <w:marLeft w:val="0"/>
      <w:marRight w:val="0"/>
      <w:marTop w:val="0"/>
      <w:marBottom w:val="0"/>
      <w:divBdr>
        <w:top w:val="none" w:sz="0" w:space="0" w:color="auto"/>
        <w:left w:val="none" w:sz="0" w:space="0" w:color="auto"/>
        <w:bottom w:val="none" w:sz="0" w:space="0" w:color="auto"/>
        <w:right w:val="none" w:sz="0" w:space="0" w:color="auto"/>
      </w:divBdr>
    </w:div>
    <w:div w:id="84886566">
      <w:bodyDiv w:val="1"/>
      <w:marLeft w:val="0"/>
      <w:marRight w:val="0"/>
      <w:marTop w:val="0"/>
      <w:marBottom w:val="0"/>
      <w:divBdr>
        <w:top w:val="none" w:sz="0" w:space="0" w:color="auto"/>
        <w:left w:val="none" w:sz="0" w:space="0" w:color="auto"/>
        <w:bottom w:val="none" w:sz="0" w:space="0" w:color="auto"/>
        <w:right w:val="none" w:sz="0" w:space="0" w:color="auto"/>
      </w:divBdr>
    </w:div>
    <w:div w:id="120808897">
      <w:bodyDiv w:val="1"/>
      <w:marLeft w:val="0"/>
      <w:marRight w:val="0"/>
      <w:marTop w:val="0"/>
      <w:marBottom w:val="0"/>
      <w:divBdr>
        <w:top w:val="none" w:sz="0" w:space="0" w:color="auto"/>
        <w:left w:val="none" w:sz="0" w:space="0" w:color="auto"/>
        <w:bottom w:val="none" w:sz="0" w:space="0" w:color="auto"/>
        <w:right w:val="none" w:sz="0" w:space="0" w:color="auto"/>
      </w:divBdr>
    </w:div>
    <w:div w:id="132213985">
      <w:bodyDiv w:val="1"/>
      <w:marLeft w:val="0"/>
      <w:marRight w:val="0"/>
      <w:marTop w:val="0"/>
      <w:marBottom w:val="0"/>
      <w:divBdr>
        <w:top w:val="none" w:sz="0" w:space="0" w:color="auto"/>
        <w:left w:val="none" w:sz="0" w:space="0" w:color="auto"/>
        <w:bottom w:val="none" w:sz="0" w:space="0" w:color="auto"/>
        <w:right w:val="none" w:sz="0" w:space="0" w:color="auto"/>
      </w:divBdr>
    </w:div>
    <w:div w:id="137847831">
      <w:bodyDiv w:val="1"/>
      <w:marLeft w:val="0"/>
      <w:marRight w:val="0"/>
      <w:marTop w:val="0"/>
      <w:marBottom w:val="0"/>
      <w:divBdr>
        <w:top w:val="none" w:sz="0" w:space="0" w:color="auto"/>
        <w:left w:val="none" w:sz="0" w:space="0" w:color="auto"/>
        <w:bottom w:val="none" w:sz="0" w:space="0" w:color="auto"/>
        <w:right w:val="none" w:sz="0" w:space="0" w:color="auto"/>
      </w:divBdr>
      <w:divsChild>
        <w:div w:id="996418833">
          <w:marLeft w:val="0"/>
          <w:marRight w:val="0"/>
          <w:marTop w:val="0"/>
          <w:marBottom w:val="0"/>
          <w:divBdr>
            <w:top w:val="none" w:sz="0" w:space="0" w:color="auto"/>
            <w:left w:val="none" w:sz="0" w:space="0" w:color="auto"/>
            <w:bottom w:val="none" w:sz="0" w:space="0" w:color="auto"/>
            <w:right w:val="none" w:sz="0" w:space="0" w:color="auto"/>
          </w:divBdr>
          <w:divsChild>
            <w:div w:id="107169608">
              <w:marLeft w:val="0"/>
              <w:marRight w:val="0"/>
              <w:marTop w:val="0"/>
              <w:marBottom w:val="0"/>
              <w:divBdr>
                <w:top w:val="none" w:sz="0" w:space="0" w:color="auto"/>
                <w:left w:val="none" w:sz="0" w:space="0" w:color="auto"/>
                <w:bottom w:val="none" w:sz="0" w:space="0" w:color="auto"/>
                <w:right w:val="none" w:sz="0" w:space="0" w:color="auto"/>
              </w:divBdr>
              <w:divsChild>
                <w:div w:id="258635841">
                  <w:marLeft w:val="0"/>
                  <w:marRight w:val="0"/>
                  <w:marTop w:val="0"/>
                  <w:marBottom w:val="0"/>
                  <w:divBdr>
                    <w:top w:val="none" w:sz="0" w:space="0" w:color="auto"/>
                    <w:left w:val="none" w:sz="0" w:space="0" w:color="auto"/>
                    <w:bottom w:val="none" w:sz="0" w:space="0" w:color="auto"/>
                    <w:right w:val="none" w:sz="0" w:space="0" w:color="auto"/>
                  </w:divBdr>
                  <w:divsChild>
                    <w:div w:id="1530530557">
                      <w:marLeft w:val="0"/>
                      <w:marRight w:val="0"/>
                      <w:marTop w:val="0"/>
                      <w:marBottom w:val="0"/>
                      <w:divBdr>
                        <w:top w:val="none" w:sz="0" w:space="0" w:color="auto"/>
                        <w:left w:val="none" w:sz="0" w:space="0" w:color="auto"/>
                        <w:bottom w:val="none" w:sz="0" w:space="0" w:color="auto"/>
                        <w:right w:val="none" w:sz="0" w:space="0" w:color="auto"/>
                      </w:divBdr>
                      <w:divsChild>
                        <w:div w:id="77138160">
                          <w:marLeft w:val="0"/>
                          <w:marRight w:val="0"/>
                          <w:marTop w:val="0"/>
                          <w:marBottom w:val="0"/>
                          <w:divBdr>
                            <w:top w:val="none" w:sz="0" w:space="0" w:color="auto"/>
                            <w:left w:val="none" w:sz="0" w:space="0" w:color="auto"/>
                            <w:bottom w:val="none" w:sz="0" w:space="0" w:color="auto"/>
                            <w:right w:val="none" w:sz="0" w:space="0" w:color="auto"/>
                          </w:divBdr>
                          <w:divsChild>
                            <w:div w:id="31806687">
                              <w:marLeft w:val="0"/>
                              <w:marRight w:val="0"/>
                              <w:marTop w:val="0"/>
                              <w:marBottom w:val="0"/>
                              <w:divBdr>
                                <w:top w:val="none" w:sz="0" w:space="0" w:color="auto"/>
                                <w:left w:val="none" w:sz="0" w:space="0" w:color="auto"/>
                                <w:bottom w:val="none" w:sz="0" w:space="0" w:color="auto"/>
                                <w:right w:val="none" w:sz="0" w:space="0" w:color="auto"/>
                              </w:divBdr>
                              <w:divsChild>
                                <w:div w:id="1342733207">
                                  <w:marLeft w:val="0"/>
                                  <w:marRight w:val="0"/>
                                  <w:marTop w:val="0"/>
                                  <w:marBottom w:val="0"/>
                                  <w:divBdr>
                                    <w:top w:val="none" w:sz="0" w:space="0" w:color="auto"/>
                                    <w:left w:val="none" w:sz="0" w:space="0" w:color="auto"/>
                                    <w:bottom w:val="none" w:sz="0" w:space="0" w:color="auto"/>
                                    <w:right w:val="none" w:sz="0" w:space="0" w:color="auto"/>
                                  </w:divBdr>
                                  <w:divsChild>
                                    <w:div w:id="1512912281">
                                      <w:marLeft w:val="0"/>
                                      <w:marRight w:val="0"/>
                                      <w:marTop w:val="0"/>
                                      <w:marBottom w:val="0"/>
                                      <w:divBdr>
                                        <w:top w:val="none" w:sz="0" w:space="0" w:color="auto"/>
                                        <w:left w:val="none" w:sz="0" w:space="0" w:color="auto"/>
                                        <w:bottom w:val="none" w:sz="0" w:space="0" w:color="auto"/>
                                        <w:right w:val="none" w:sz="0" w:space="0" w:color="auto"/>
                                      </w:divBdr>
                                      <w:divsChild>
                                        <w:div w:id="142545263">
                                          <w:marLeft w:val="0"/>
                                          <w:marRight w:val="0"/>
                                          <w:marTop w:val="0"/>
                                          <w:marBottom w:val="0"/>
                                          <w:divBdr>
                                            <w:top w:val="none" w:sz="0" w:space="0" w:color="auto"/>
                                            <w:left w:val="none" w:sz="0" w:space="0" w:color="auto"/>
                                            <w:bottom w:val="none" w:sz="0" w:space="0" w:color="auto"/>
                                            <w:right w:val="none" w:sz="0" w:space="0" w:color="auto"/>
                                          </w:divBdr>
                                          <w:divsChild>
                                            <w:div w:id="335767636">
                                              <w:marLeft w:val="0"/>
                                              <w:marRight w:val="0"/>
                                              <w:marTop w:val="0"/>
                                              <w:marBottom w:val="0"/>
                                              <w:divBdr>
                                                <w:top w:val="none" w:sz="0" w:space="0" w:color="auto"/>
                                                <w:left w:val="none" w:sz="0" w:space="0" w:color="auto"/>
                                                <w:bottom w:val="none" w:sz="0" w:space="0" w:color="auto"/>
                                                <w:right w:val="none" w:sz="0" w:space="0" w:color="auto"/>
                                              </w:divBdr>
                                              <w:divsChild>
                                                <w:div w:id="1962760118">
                                                  <w:marLeft w:val="0"/>
                                                  <w:marRight w:val="0"/>
                                                  <w:marTop w:val="0"/>
                                                  <w:marBottom w:val="0"/>
                                                  <w:divBdr>
                                                    <w:top w:val="none" w:sz="0" w:space="0" w:color="auto"/>
                                                    <w:left w:val="none" w:sz="0" w:space="0" w:color="auto"/>
                                                    <w:bottom w:val="none" w:sz="0" w:space="0" w:color="auto"/>
                                                    <w:right w:val="none" w:sz="0" w:space="0" w:color="auto"/>
                                                  </w:divBdr>
                                                  <w:divsChild>
                                                    <w:div w:id="546112869">
                                                      <w:marLeft w:val="0"/>
                                                      <w:marRight w:val="0"/>
                                                      <w:marTop w:val="0"/>
                                                      <w:marBottom w:val="0"/>
                                                      <w:divBdr>
                                                        <w:top w:val="none" w:sz="0" w:space="0" w:color="auto"/>
                                                        <w:left w:val="none" w:sz="0" w:space="0" w:color="auto"/>
                                                        <w:bottom w:val="none" w:sz="0" w:space="0" w:color="auto"/>
                                                        <w:right w:val="none" w:sz="0" w:space="0" w:color="auto"/>
                                                      </w:divBdr>
                                                      <w:divsChild>
                                                        <w:div w:id="171654159">
                                                          <w:marLeft w:val="0"/>
                                                          <w:marRight w:val="0"/>
                                                          <w:marTop w:val="0"/>
                                                          <w:marBottom w:val="0"/>
                                                          <w:divBdr>
                                                            <w:top w:val="none" w:sz="0" w:space="0" w:color="auto"/>
                                                            <w:left w:val="none" w:sz="0" w:space="0" w:color="auto"/>
                                                            <w:bottom w:val="none" w:sz="0" w:space="0" w:color="auto"/>
                                                            <w:right w:val="none" w:sz="0" w:space="0" w:color="auto"/>
                                                          </w:divBdr>
                                                          <w:divsChild>
                                                            <w:div w:id="1312061482">
                                                              <w:marLeft w:val="0"/>
                                                              <w:marRight w:val="0"/>
                                                              <w:marTop w:val="0"/>
                                                              <w:marBottom w:val="0"/>
                                                              <w:divBdr>
                                                                <w:top w:val="none" w:sz="0" w:space="0" w:color="auto"/>
                                                                <w:left w:val="none" w:sz="0" w:space="0" w:color="auto"/>
                                                                <w:bottom w:val="none" w:sz="0" w:space="0" w:color="auto"/>
                                                                <w:right w:val="none" w:sz="0" w:space="0" w:color="auto"/>
                                                              </w:divBdr>
                                                              <w:divsChild>
                                                                <w:div w:id="69157551">
                                                                  <w:marLeft w:val="0"/>
                                                                  <w:marRight w:val="0"/>
                                                                  <w:marTop w:val="0"/>
                                                                  <w:marBottom w:val="0"/>
                                                                  <w:divBdr>
                                                                    <w:top w:val="none" w:sz="0" w:space="0" w:color="auto"/>
                                                                    <w:left w:val="none" w:sz="0" w:space="0" w:color="auto"/>
                                                                    <w:bottom w:val="none" w:sz="0" w:space="0" w:color="auto"/>
                                                                    <w:right w:val="none" w:sz="0" w:space="0" w:color="auto"/>
                                                                  </w:divBdr>
                                                                  <w:divsChild>
                                                                    <w:div w:id="616108490">
                                                                      <w:marLeft w:val="0"/>
                                                                      <w:marRight w:val="0"/>
                                                                      <w:marTop w:val="0"/>
                                                                      <w:marBottom w:val="0"/>
                                                                      <w:divBdr>
                                                                        <w:top w:val="none" w:sz="0" w:space="0" w:color="auto"/>
                                                                        <w:left w:val="none" w:sz="0" w:space="0" w:color="auto"/>
                                                                        <w:bottom w:val="none" w:sz="0" w:space="0" w:color="auto"/>
                                                                        <w:right w:val="none" w:sz="0" w:space="0" w:color="auto"/>
                                                                      </w:divBdr>
                                                                      <w:divsChild>
                                                                        <w:div w:id="660162769">
                                                                          <w:marLeft w:val="0"/>
                                                                          <w:marRight w:val="0"/>
                                                                          <w:marTop w:val="0"/>
                                                                          <w:marBottom w:val="0"/>
                                                                          <w:divBdr>
                                                                            <w:top w:val="none" w:sz="0" w:space="0" w:color="auto"/>
                                                                            <w:left w:val="none" w:sz="0" w:space="0" w:color="auto"/>
                                                                            <w:bottom w:val="none" w:sz="0" w:space="0" w:color="auto"/>
                                                                            <w:right w:val="none" w:sz="0" w:space="0" w:color="auto"/>
                                                                          </w:divBdr>
                                                                          <w:divsChild>
                                                                            <w:div w:id="1126779456">
                                                                              <w:marLeft w:val="0"/>
                                                                              <w:marRight w:val="0"/>
                                                                              <w:marTop w:val="0"/>
                                                                              <w:marBottom w:val="0"/>
                                                                              <w:divBdr>
                                                                                <w:top w:val="none" w:sz="0" w:space="0" w:color="auto"/>
                                                                                <w:left w:val="none" w:sz="0" w:space="0" w:color="auto"/>
                                                                                <w:bottom w:val="none" w:sz="0" w:space="0" w:color="auto"/>
                                                                                <w:right w:val="none" w:sz="0" w:space="0" w:color="auto"/>
                                                                              </w:divBdr>
                                                                              <w:divsChild>
                                                                                <w:div w:id="2052803497">
                                                                                  <w:marLeft w:val="0"/>
                                                                                  <w:marRight w:val="0"/>
                                                                                  <w:marTop w:val="0"/>
                                                                                  <w:marBottom w:val="0"/>
                                                                                  <w:divBdr>
                                                                                    <w:top w:val="none" w:sz="0" w:space="0" w:color="auto"/>
                                                                                    <w:left w:val="none" w:sz="0" w:space="0" w:color="auto"/>
                                                                                    <w:bottom w:val="none" w:sz="0" w:space="0" w:color="auto"/>
                                                                                    <w:right w:val="none" w:sz="0" w:space="0" w:color="auto"/>
                                                                                  </w:divBdr>
                                                                                  <w:divsChild>
                                                                                    <w:div w:id="80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7944434">
                                          <w:marLeft w:val="0"/>
                                          <w:marRight w:val="0"/>
                                          <w:marTop w:val="0"/>
                                          <w:marBottom w:val="0"/>
                                          <w:divBdr>
                                            <w:top w:val="none" w:sz="0" w:space="0" w:color="auto"/>
                                            <w:left w:val="none" w:sz="0" w:space="0" w:color="auto"/>
                                            <w:bottom w:val="none" w:sz="0" w:space="0" w:color="auto"/>
                                            <w:right w:val="none" w:sz="0" w:space="0" w:color="auto"/>
                                          </w:divBdr>
                                          <w:divsChild>
                                            <w:div w:id="2114592736">
                                              <w:marLeft w:val="0"/>
                                              <w:marRight w:val="0"/>
                                              <w:marTop w:val="0"/>
                                              <w:marBottom w:val="0"/>
                                              <w:divBdr>
                                                <w:top w:val="none" w:sz="0" w:space="0" w:color="auto"/>
                                                <w:left w:val="none" w:sz="0" w:space="0" w:color="auto"/>
                                                <w:bottom w:val="none" w:sz="0" w:space="0" w:color="auto"/>
                                                <w:right w:val="none" w:sz="0" w:space="0" w:color="auto"/>
                                              </w:divBdr>
                                              <w:divsChild>
                                                <w:div w:id="732505190">
                                                  <w:marLeft w:val="0"/>
                                                  <w:marRight w:val="0"/>
                                                  <w:marTop w:val="0"/>
                                                  <w:marBottom w:val="0"/>
                                                  <w:divBdr>
                                                    <w:top w:val="none" w:sz="0" w:space="0" w:color="auto"/>
                                                    <w:left w:val="none" w:sz="0" w:space="0" w:color="auto"/>
                                                    <w:bottom w:val="none" w:sz="0" w:space="0" w:color="auto"/>
                                                    <w:right w:val="none" w:sz="0" w:space="0" w:color="auto"/>
                                                  </w:divBdr>
                                                  <w:divsChild>
                                                    <w:div w:id="855076696">
                                                      <w:marLeft w:val="0"/>
                                                      <w:marRight w:val="0"/>
                                                      <w:marTop w:val="0"/>
                                                      <w:marBottom w:val="0"/>
                                                      <w:divBdr>
                                                        <w:top w:val="none" w:sz="0" w:space="0" w:color="auto"/>
                                                        <w:left w:val="none" w:sz="0" w:space="0" w:color="auto"/>
                                                        <w:bottom w:val="none" w:sz="0" w:space="0" w:color="auto"/>
                                                        <w:right w:val="none" w:sz="0" w:space="0" w:color="auto"/>
                                                      </w:divBdr>
                                                      <w:divsChild>
                                                        <w:div w:id="1091852459">
                                                          <w:marLeft w:val="0"/>
                                                          <w:marRight w:val="0"/>
                                                          <w:marTop w:val="0"/>
                                                          <w:marBottom w:val="0"/>
                                                          <w:divBdr>
                                                            <w:top w:val="none" w:sz="0" w:space="0" w:color="auto"/>
                                                            <w:left w:val="none" w:sz="0" w:space="0" w:color="auto"/>
                                                            <w:bottom w:val="none" w:sz="0" w:space="0" w:color="auto"/>
                                                            <w:right w:val="none" w:sz="0" w:space="0" w:color="auto"/>
                                                          </w:divBdr>
                                                          <w:divsChild>
                                                            <w:div w:id="88014896">
                                                              <w:marLeft w:val="0"/>
                                                              <w:marRight w:val="0"/>
                                                              <w:marTop w:val="0"/>
                                                              <w:marBottom w:val="0"/>
                                                              <w:divBdr>
                                                                <w:top w:val="none" w:sz="0" w:space="0" w:color="auto"/>
                                                                <w:left w:val="none" w:sz="0" w:space="0" w:color="auto"/>
                                                                <w:bottom w:val="none" w:sz="0" w:space="0" w:color="auto"/>
                                                                <w:right w:val="none" w:sz="0" w:space="0" w:color="auto"/>
                                                              </w:divBdr>
                                                              <w:divsChild>
                                                                <w:div w:id="63113634">
                                                                  <w:marLeft w:val="0"/>
                                                                  <w:marRight w:val="0"/>
                                                                  <w:marTop w:val="0"/>
                                                                  <w:marBottom w:val="0"/>
                                                                  <w:divBdr>
                                                                    <w:top w:val="none" w:sz="0" w:space="0" w:color="auto"/>
                                                                    <w:left w:val="none" w:sz="0" w:space="0" w:color="auto"/>
                                                                    <w:bottom w:val="none" w:sz="0" w:space="0" w:color="auto"/>
                                                                    <w:right w:val="none" w:sz="0" w:space="0" w:color="auto"/>
                                                                  </w:divBdr>
                                                                  <w:divsChild>
                                                                    <w:div w:id="220555074">
                                                                      <w:marLeft w:val="0"/>
                                                                      <w:marRight w:val="0"/>
                                                                      <w:marTop w:val="0"/>
                                                                      <w:marBottom w:val="0"/>
                                                                      <w:divBdr>
                                                                        <w:top w:val="none" w:sz="0" w:space="0" w:color="auto"/>
                                                                        <w:left w:val="none" w:sz="0" w:space="0" w:color="auto"/>
                                                                        <w:bottom w:val="none" w:sz="0" w:space="0" w:color="auto"/>
                                                                        <w:right w:val="none" w:sz="0" w:space="0" w:color="auto"/>
                                                                      </w:divBdr>
                                                                      <w:divsChild>
                                                                        <w:div w:id="587351035">
                                                                          <w:marLeft w:val="0"/>
                                                                          <w:marRight w:val="0"/>
                                                                          <w:marTop w:val="0"/>
                                                                          <w:marBottom w:val="0"/>
                                                                          <w:divBdr>
                                                                            <w:top w:val="none" w:sz="0" w:space="0" w:color="auto"/>
                                                                            <w:left w:val="none" w:sz="0" w:space="0" w:color="auto"/>
                                                                            <w:bottom w:val="none" w:sz="0" w:space="0" w:color="auto"/>
                                                                            <w:right w:val="none" w:sz="0" w:space="0" w:color="auto"/>
                                                                          </w:divBdr>
                                                                          <w:divsChild>
                                                                            <w:div w:id="180635000">
                                                                              <w:marLeft w:val="0"/>
                                                                              <w:marRight w:val="0"/>
                                                                              <w:marTop w:val="0"/>
                                                                              <w:marBottom w:val="0"/>
                                                                              <w:divBdr>
                                                                                <w:top w:val="none" w:sz="0" w:space="0" w:color="auto"/>
                                                                                <w:left w:val="none" w:sz="0" w:space="0" w:color="auto"/>
                                                                                <w:bottom w:val="none" w:sz="0" w:space="0" w:color="auto"/>
                                                                                <w:right w:val="none" w:sz="0" w:space="0" w:color="auto"/>
                                                                              </w:divBdr>
                                                                              <w:divsChild>
                                                                                <w:div w:id="816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606070">
      <w:bodyDiv w:val="1"/>
      <w:marLeft w:val="0"/>
      <w:marRight w:val="0"/>
      <w:marTop w:val="0"/>
      <w:marBottom w:val="0"/>
      <w:divBdr>
        <w:top w:val="none" w:sz="0" w:space="0" w:color="auto"/>
        <w:left w:val="none" w:sz="0" w:space="0" w:color="auto"/>
        <w:bottom w:val="none" w:sz="0" w:space="0" w:color="auto"/>
        <w:right w:val="none" w:sz="0" w:space="0" w:color="auto"/>
      </w:divBdr>
    </w:div>
    <w:div w:id="275404341">
      <w:bodyDiv w:val="1"/>
      <w:marLeft w:val="0"/>
      <w:marRight w:val="0"/>
      <w:marTop w:val="0"/>
      <w:marBottom w:val="0"/>
      <w:divBdr>
        <w:top w:val="none" w:sz="0" w:space="0" w:color="auto"/>
        <w:left w:val="none" w:sz="0" w:space="0" w:color="auto"/>
        <w:bottom w:val="none" w:sz="0" w:space="0" w:color="auto"/>
        <w:right w:val="none" w:sz="0" w:space="0" w:color="auto"/>
      </w:divBdr>
    </w:div>
    <w:div w:id="287199890">
      <w:bodyDiv w:val="1"/>
      <w:marLeft w:val="0"/>
      <w:marRight w:val="0"/>
      <w:marTop w:val="0"/>
      <w:marBottom w:val="0"/>
      <w:divBdr>
        <w:top w:val="none" w:sz="0" w:space="0" w:color="auto"/>
        <w:left w:val="none" w:sz="0" w:space="0" w:color="auto"/>
        <w:bottom w:val="none" w:sz="0" w:space="0" w:color="auto"/>
        <w:right w:val="none" w:sz="0" w:space="0" w:color="auto"/>
      </w:divBdr>
    </w:div>
    <w:div w:id="315845431">
      <w:bodyDiv w:val="1"/>
      <w:marLeft w:val="0"/>
      <w:marRight w:val="0"/>
      <w:marTop w:val="0"/>
      <w:marBottom w:val="0"/>
      <w:divBdr>
        <w:top w:val="none" w:sz="0" w:space="0" w:color="auto"/>
        <w:left w:val="none" w:sz="0" w:space="0" w:color="auto"/>
        <w:bottom w:val="none" w:sz="0" w:space="0" w:color="auto"/>
        <w:right w:val="none" w:sz="0" w:space="0" w:color="auto"/>
      </w:divBdr>
    </w:div>
    <w:div w:id="318386423">
      <w:bodyDiv w:val="1"/>
      <w:marLeft w:val="0"/>
      <w:marRight w:val="0"/>
      <w:marTop w:val="0"/>
      <w:marBottom w:val="0"/>
      <w:divBdr>
        <w:top w:val="none" w:sz="0" w:space="0" w:color="auto"/>
        <w:left w:val="none" w:sz="0" w:space="0" w:color="auto"/>
        <w:bottom w:val="none" w:sz="0" w:space="0" w:color="auto"/>
        <w:right w:val="none" w:sz="0" w:space="0" w:color="auto"/>
      </w:divBdr>
    </w:div>
    <w:div w:id="338586699">
      <w:bodyDiv w:val="1"/>
      <w:marLeft w:val="0"/>
      <w:marRight w:val="0"/>
      <w:marTop w:val="0"/>
      <w:marBottom w:val="0"/>
      <w:divBdr>
        <w:top w:val="none" w:sz="0" w:space="0" w:color="auto"/>
        <w:left w:val="none" w:sz="0" w:space="0" w:color="auto"/>
        <w:bottom w:val="none" w:sz="0" w:space="0" w:color="auto"/>
        <w:right w:val="none" w:sz="0" w:space="0" w:color="auto"/>
      </w:divBdr>
    </w:div>
    <w:div w:id="400252093">
      <w:bodyDiv w:val="1"/>
      <w:marLeft w:val="0"/>
      <w:marRight w:val="0"/>
      <w:marTop w:val="0"/>
      <w:marBottom w:val="0"/>
      <w:divBdr>
        <w:top w:val="none" w:sz="0" w:space="0" w:color="auto"/>
        <w:left w:val="none" w:sz="0" w:space="0" w:color="auto"/>
        <w:bottom w:val="none" w:sz="0" w:space="0" w:color="auto"/>
        <w:right w:val="none" w:sz="0" w:space="0" w:color="auto"/>
      </w:divBdr>
    </w:div>
    <w:div w:id="441416414">
      <w:bodyDiv w:val="1"/>
      <w:marLeft w:val="0"/>
      <w:marRight w:val="0"/>
      <w:marTop w:val="0"/>
      <w:marBottom w:val="0"/>
      <w:divBdr>
        <w:top w:val="none" w:sz="0" w:space="0" w:color="auto"/>
        <w:left w:val="none" w:sz="0" w:space="0" w:color="auto"/>
        <w:bottom w:val="none" w:sz="0" w:space="0" w:color="auto"/>
        <w:right w:val="none" w:sz="0" w:space="0" w:color="auto"/>
      </w:divBdr>
    </w:div>
    <w:div w:id="484976552">
      <w:bodyDiv w:val="1"/>
      <w:marLeft w:val="0"/>
      <w:marRight w:val="0"/>
      <w:marTop w:val="0"/>
      <w:marBottom w:val="0"/>
      <w:divBdr>
        <w:top w:val="none" w:sz="0" w:space="0" w:color="auto"/>
        <w:left w:val="none" w:sz="0" w:space="0" w:color="auto"/>
        <w:bottom w:val="none" w:sz="0" w:space="0" w:color="auto"/>
        <w:right w:val="none" w:sz="0" w:space="0" w:color="auto"/>
      </w:divBdr>
    </w:div>
    <w:div w:id="494304065">
      <w:bodyDiv w:val="1"/>
      <w:marLeft w:val="0"/>
      <w:marRight w:val="0"/>
      <w:marTop w:val="0"/>
      <w:marBottom w:val="0"/>
      <w:divBdr>
        <w:top w:val="none" w:sz="0" w:space="0" w:color="auto"/>
        <w:left w:val="none" w:sz="0" w:space="0" w:color="auto"/>
        <w:bottom w:val="none" w:sz="0" w:space="0" w:color="auto"/>
        <w:right w:val="none" w:sz="0" w:space="0" w:color="auto"/>
      </w:divBdr>
    </w:div>
    <w:div w:id="505941367">
      <w:bodyDiv w:val="1"/>
      <w:marLeft w:val="0"/>
      <w:marRight w:val="0"/>
      <w:marTop w:val="0"/>
      <w:marBottom w:val="0"/>
      <w:divBdr>
        <w:top w:val="none" w:sz="0" w:space="0" w:color="auto"/>
        <w:left w:val="none" w:sz="0" w:space="0" w:color="auto"/>
        <w:bottom w:val="none" w:sz="0" w:space="0" w:color="auto"/>
        <w:right w:val="none" w:sz="0" w:space="0" w:color="auto"/>
      </w:divBdr>
    </w:div>
    <w:div w:id="608859779">
      <w:bodyDiv w:val="1"/>
      <w:marLeft w:val="0"/>
      <w:marRight w:val="0"/>
      <w:marTop w:val="0"/>
      <w:marBottom w:val="0"/>
      <w:divBdr>
        <w:top w:val="none" w:sz="0" w:space="0" w:color="auto"/>
        <w:left w:val="none" w:sz="0" w:space="0" w:color="auto"/>
        <w:bottom w:val="none" w:sz="0" w:space="0" w:color="auto"/>
        <w:right w:val="none" w:sz="0" w:space="0" w:color="auto"/>
      </w:divBdr>
      <w:divsChild>
        <w:div w:id="1187527091">
          <w:marLeft w:val="0"/>
          <w:marRight w:val="0"/>
          <w:marTop w:val="0"/>
          <w:marBottom w:val="0"/>
          <w:divBdr>
            <w:top w:val="none" w:sz="0" w:space="0" w:color="auto"/>
            <w:left w:val="none" w:sz="0" w:space="0" w:color="auto"/>
            <w:bottom w:val="none" w:sz="0" w:space="0" w:color="auto"/>
            <w:right w:val="none" w:sz="0" w:space="0" w:color="auto"/>
          </w:divBdr>
          <w:divsChild>
            <w:div w:id="468134460">
              <w:marLeft w:val="0"/>
              <w:marRight w:val="0"/>
              <w:marTop w:val="0"/>
              <w:marBottom w:val="0"/>
              <w:divBdr>
                <w:top w:val="none" w:sz="0" w:space="0" w:color="auto"/>
                <w:left w:val="none" w:sz="0" w:space="0" w:color="auto"/>
                <w:bottom w:val="none" w:sz="0" w:space="0" w:color="auto"/>
                <w:right w:val="none" w:sz="0" w:space="0" w:color="auto"/>
              </w:divBdr>
              <w:divsChild>
                <w:div w:id="2037535490">
                  <w:marLeft w:val="0"/>
                  <w:marRight w:val="0"/>
                  <w:marTop w:val="0"/>
                  <w:marBottom w:val="0"/>
                  <w:divBdr>
                    <w:top w:val="none" w:sz="0" w:space="0" w:color="auto"/>
                    <w:left w:val="none" w:sz="0" w:space="0" w:color="auto"/>
                    <w:bottom w:val="none" w:sz="0" w:space="0" w:color="auto"/>
                    <w:right w:val="none" w:sz="0" w:space="0" w:color="auto"/>
                  </w:divBdr>
                  <w:divsChild>
                    <w:div w:id="1332872979">
                      <w:marLeft w:val="0"/>
                      <w:marRight w:val="0"/>
                      <w:marTop w:val="0"/>
                      <w:marBottom w:val="0"/>
                      <w:divBdr>
                        <w:top w:val="none" w:sz="0" w:space="0" w:color="auto"/>
                        <w:left w:val="none" w:sz="0" w:space="0" w:color="auto"/>
                        <w:bottom w:val="none" w:sz="0" w:space="0" w:color="auto"/>
                        <w:right w:val="none" w:sz="0" w:space="0" w:color="auto"/>
                      </w:divBdr>
                      <w:divsChild>
                        <w:div w:id="1493983648">
                          <w:marLeft w:val="0"/>
                          <w:marRight w:val="0"/>
                          <w:marTop w:val="0"/>
                          <w:marBottom w:val="0"/>
                          <w:divBdr>
                            <w:top w:val="none" w:sz="0" w:space="0" w:color="auto"/>
                            <w:left w:val="none" w:sz="0" w:space="0" w:color="auto"/>
                            <w:bottom w:val="none" w:sz="0" w:space="0" w:color="auto"/>
                            <w:right w:val="none" w:sz="0" w:space="0" w:color="auto"/>
                          </w:divBdr>
                          <w:divsChild>
                            <w:div w:id="1632712700">
                              <w:marLeft w:val="0"/>
                              <w:marRight w:val="0"/>
                              <w:marTop w:val="0"/>
                              <w:marBottom w:val="0"/>
                              <w:divBdr>
                                <w:top w:val="none" w:sz="0" w:space="0" w:color="auto"/>
                                <w:left w:val="none" w:sz="0" w:space="0" w:color="auto"/>
                                <w:bottom w:val="none" w:sz="0" w:space="0" w:color="auto"/>
                                <w:right w:val="none" w:sz="0" w:space="0" w:color="auto"/>
                              </w:divBdr>
                              <w:divsChild>
                                <w:div w:id="796026172">
                                  <w:marLeft w:val="0"/>
                                  <w:marRight w:val="0"/>
                                  <w:marTop w:val="0"/>
                                  <w:marBottom w:val="0"/>
                                  <w:divBdr>
                                    <w:top w:val="none" w:sz="0" w:space="0" w:color="auto"/>
                                    <w:left w:val="none" w:sz="0" w:space="0" w:color="auto"/>
                                    <w:bottom w:val="none" w:sz="0" w:space="0" w:color="auto"/>
                                    <w:right w:val="none" w:sz="0" w:space="0" w:color="auto"/>
                                  </w:divBdr>
                                  <w:divsChild>
                                    <w:div w:id="140850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767546">
      <w:bodyDiv w:val="1"/>
      <w:marLeft w:val="0"/>
      <w:marRight w:val="0"/>
      <w:marTop w:val="0"/>
      <w:marBottom w:val="0"/>
      <w:divBdr>
        <w:top w:val="none" w:sz="0" w:space="0" w:color="auto"/>
        <w:left w:val="none" w:sz="0" w:space="0" w:color="auto"/>
        <w:bottom w:val="none" w:sz="0" w:space="0" w:color="auto"/>
        <w:right w:val="none" w:sz="0" w:space="0" w:color="auto"/>
      </w:divBdr>
    </w:div>
    <w:div w:id="777257684">
      <w:bodyDiv w:val="1"/>
      <w:marLeft w:val="0"/>
      <w:marRight w:val="0"/>
      <w:marTop w:val="0"/>
      <w:marBottom w:val="0"/>
      <w:divBdr>
        <w:top w:val="none" w:sz="0" w:space="0" w:color="auto"/>
        <w:left w:val="none" w:sz="0" w:space="0" w:color="auto"/>
        <w:bottom w:val="none" w:sz="0" w:space="0" w:color="auto"/>
        <w:right w:val="none" w:sz="0" w:space="0" w:color="auto"/>
      </w:divBdr>
    </w:div>
    <w:div w:id="825244876">
      <w:bodyDiv w:val="1"/>
      <w:marLeft w:val="0"/>
      <w:marRight w:val="0"/>
      <w:marTop w:val="0"/>
      <w:marBottom w:val="0"/>
      <w:divBdr>
        <w:top w:val="none" w:sz="0" w:space="0" w:color="auto"/>
        <w:left w:val="none" w:sz="0" w:space="0" w:color="auto"/>
        <w:bottom w:val="none" w:sz="0" w:space="0" w:color="auto"/>
        <w:right w:val="none" w:sz="0" w:space="0" w:color="auto"/>
      </w:divBdr>
    </w:div>
    <w:div w:id="825629601">
      <w:bodyDiv w:val="1"/>
      <w:marLeft w:val="0"/>
      <w:marRight w:val="0"/>
      <w:marTop w:val="0"/>
      <w:marBottom w:val="0"/>
      <w:divBdr>
        <w:top w:val="none" w:sz="0" w:space="0" w:color="auto"/>
        <w:left w:val="none" w:sz="0" w:space="0" w:color="auto"/>
        <w:bottom w:val="none" w:sz="0" w:space="0" w:color="auto"/>
        <w:right w:val="none" w:sz="0" w:space="0" w:color="auto"/>
      </w:divBdr>
    </w:div>
    <w:div w:id="857234216">
      <w:bodyDiv w:val="1"/>
      <w:marLeft w:val="0"/>
      <w:marRight w:val="0"/>
      <w:marTop w:val="0"/>
      <w:marBottom w:val="0"/>
      <w:divBdr>
        <w:top w:val="none" w:sz="0" w:space="0" w:color="auto"/>
        <w:left w:val="none" w:sz="0" w:space="0" w:color="auto"/>
        <w:bottom w:val="none" w:sz="0" w:space="0" w:color="auto"/>
        <w:right w:val="none" w:sz="0" w:space="0" w:color="auto"/>
      </w:divBdr>
    </w:div>
    <w:div w:id="1068698235">
      <w:bodyDiv w:val="1"/>
      <w:marLeft w:val="0"/>
      <w:marRight w:val="0"/>
      <w:marTop w:val="0"/>
      <w:marBottom w:val="0"/>
      <w:divBdr>
        <w:top w:val="none" w:sz="0" w:space="0" w:color="auto"/>
        <w:left w:val="none" w:sz="0" w:space="0" w:color="auto"/>
        <w:bottom w:val="none" w:sz="0" w:space="0" w:color="auto"/>
        <w:right w:val="none" w:sz="0" w:space="0" w:color="auto"/>
      </w:divBdr>
    </w:div>
    <w:div w:id="1081298235">
      <w:bodyDiv w:val="1"/>
      <w:marLeft w:val="0"/>
      <w:marRight w:val="0"/>
      <w:marTop w:val="0"/>
      <w:marBottom w:val="0"/>
      <w:divBdr>
        <w:top w:val="none" w:sz="0" w:space="0" w:color="auto"/>
        <w:left w:val="none" w:sz="0" w:space="0" w:color="auto"/>
        <w:bottom w:val="none" w:sz="0" w:space="0" w:color="auto"/>
        <w:right w:val="none" w:sz="0" w:space="0" w:color="auto"/>
      </w:divBdr>
    </w:div>
    <w:div w:id="1116214815">
      <w:bodyDiv w:val="1"/>
      <w:marLeft w:val="0"/>
      <w:marRight w:val="0"/>
      <w:marTop w:val="0"/>
      <w:marBottom w:val="0"/>
      <w:divBdr>
        <w:top w:val="none" w:sz="0" w:space="0" w:color="auto"/>
        <w:left w:val="none" w:sz="0" w:space="0" w:color="auto"/>
        <w:bottom w:val="none" w:sz="0" w:space="0" w:color="auto"/>
        <w:right w:val="none" w:sz="0" w:space="0" w:color="auto"/>
      </w:divBdr>
    </w:div>
    <w:div w:id="1145317148">
      <w:bodyDiv w:val="1"/>
      <w:marLeft w:val="0"/>
      <w:marRight w:val="0"/>
      <w:marTop w:val="0"/>
      <w:marBottom w:val="0"/>
      <w:divBdr>
        <w:top w:val="none" w:sz="0" w:space="0" w:color="auto"/>
        <w:left w:val="none" w:sz="0" w:space="0" w:color="auto"/>
        <w:bottom w:val="none" w:sz="0" w:space="0" w:color="auto"/>
        <w:right w:val="none" w:sz="0" w:space="0" w:color="auto"/>
      </w:divBdr>
    </w:div>
    <w:div w:id="1160465114">
      <w:bodyDiv w:val="1"/>
      <w:marLeft w:val="0"/>
      <w:marRight w:val="0"/>
      <w:marTop w:val="0"/>
      <w:marBottom w:val="0"/>
      <w:divBdr>
        <w:top w:val="none" w:sz="0" w:space="0" w:color="auto"/>
        <w:left w:val="none" w:sz="0" w:space="0" w:color="auto"/>
        <w:bottom w:val="none" w:sz="0" w:space="0" w:color="auto"/>
        <w:right w:val="none" w:sz="0" w:space="0" w:color="auto"/>
      </w:divBdr>
    </w:div>
    <w:div w:id="1182428555">
      <w:bodyDiv w:val="1"/>
      <w:marLeft w:val="0"/>
      <w:marRight w:val="0"/>
      <w:marTop w:val="0"/>
      <w:marBottom w:val="0"/>
      <w:divBdr>
        <w:top w:val="none" w:sz="0" w:space="0" w:color="auto"/>
        <w:left w:val="none" w:sz="0" w:space="0" w:color="auto"/>
        <w:bottom w:val="none" w:sz="0" w:space="0" w:color="auto"/>
        <w:right w:val="none" w:sz="0" w:space="0" w:color="auto"/>
      </w:divBdr>
    </w:div>
    <w:div w:id="1187987676">
      <w:bodyDiv w:val="1"/>
      <w:marLeft w:val="0"/>
      <w:marRight w:val="0"/>
      <w:marTop w:val="0"/>
      <w:marBottom w:val="0"/>
      <w:divBdr>
        <w:top w:val="none" w:sz="0" w:space="0" w:color="auto"/>
        <w:left w:val="none" w:sz="0" w:space="0" w:color="auto"/>
        <w:bottom w:val="none" w:sz="0" w:space="0" w:color="auto"/>
        <w:right w:val="none" w:sz="0" w:space="0" w:color="auto"/>
      </w:divBdr>
    </w:div>
    <w:div w:id="1209756860">
      <w:bodyDiv w:val="1"/>
      <w:marLeft w:val="0"/>
      <w:marRight w:val="0"/>
      <w:marTop w:val="0"/>
      <w:marBottom w:val="0"/>
      <w:divBdr>
        <w:top w:val="none" w:sz="0" w:space="0" w:color="auto"/>
        <w:left w:val="none" w:sz="0" w:space="0" w:color="auto"/>
        <w:bottom w:val="none" w:sz="0" w:space="0" w:color="auto"/>
        <w:right w:val="none" w:sz="0" w:space="0" w:color="auto"/>
      </w:divBdr>
    </w:div>
    <w:div w:id="1253928105">
      <w:bodyDiv w:val="1"/>
      <w:marLeft w:val="0"/>
      <w:marRight w:val="0"/>
      <w:marTop w:val="0"/>
      <w:marBottom w:val="0"/>
      <w:divBdr>
        <w:top w:val="none" w:sz="0" w:space="0" w:color="auto"/>
        <w:left w:val="none" w:sz="0" w:space="0" w:color="auto"/>
        <w:bottom w:val="none" w:sz="0" w:space="0" w:color="auto"/>
        <w:right w:val="none" w:sz="0" w:space="0" w:color="auto"/>
      </w:divBdr>
    </w:div>
    <w:div w:id="1356997042">
      <w:bodyDiv w:val="1"/>
      <w:marLeft w:val="0"/>
      <w:marRight w:val="0"/>
      <w:marTop w:val="0"/>
      <w:marBottom w:val="0"/>
      <w:divBdr>
        <w:top w:val="none" w:sz="0" w:space="0" w:color="auto"/>
        <w:left w:val="none" w:sz="0" w:space="0" w:color="auto"/>
        <w:bottom w:val="none" w:sz="0" w:space="0" w:color="auto"/>
        <w:right w:val="none" w:sz="0" w:space="0" w:color="auto"/>
      </w:divBdr>
    </w:div>
    <w:div w:id="1373767068">
      <w:bodyDiv w:val="1"/>
      <w:marLeft w:val="0"/>
      <w:marRight w:val="0"/>
      <w:marTop w:val="0"/>
      <w:marBottom w:val="0"/>
      <w:divBdr>
        <w:top w:val="none" w:sz="0" w:space="0" w:color="auto"/>
        <w:left w:val="none" w:sz="0" w:space="0" w:color="auto"/>
        <w:bottom w:val="none" w:sz="0" w:space="0" w:color="auto"/>
        <w:right w:val="none" w:sz="0" w:space="0" w:color="auto"/>
      </w:divBdr>
    </w:div>
    <w:div w:id="1511145470">
      <w:bodyDiv w:val="1"/>
      <w:marLeft w:val="0"/>
      <w:marRight w:val="0"/>
      <w:marTop w:val="0"/>
      <w:marBottom w:val="0"/>
      <w:divBdr>
        <w:top w:val="none" w:sz="0" w:space="0" w:color="auto"/>
        <w:left w:val="none" w:sz="0" w:space="0" w:color="auto"/>
        <w:bottom w:val="none" w:sz="0" w:space="0" w:color="auto"/>
        <w:right w:val="none" w:sz="0" w:space="0" w:color="auto"/>
      </w:divBdr>
    </w:div>
    <w:div w:id="1525049871">
      <w:bodyDiv w:val="1"/>
      <w:marLeft w:val="0"/>
      <w:marRight w:val="0"/>
      <w:marTop w:val="0"/>
      <w:marBottom w:val="0"/>
      <w:divBdr>
        <w:top w:val="none" w:sz="0" w:space="0" w:color="auto"/>
        <w:left w:val="none" w:sz="0" w:space="0" w:color="auto"/>
        <w:bottom w:val="none" w:sz="0" w:space="0" w:color="auto"/>
        <w:right w:val="none" w:sz="0" w:space="0" w:color="auto"/>
      </w:divBdr>
    </w:div>
    <w:div w:id="1630161395">
      <w:bodyDiv w:val="1"/>
      <w:marLeft w:val="0"/>
      <w:marRight w:val="0"/>
      <w:marTop w:val="0"/>
      <w:marBottom w:val="0"/>
      <w:divBdr>
        <w:top w:val="none" w:sz="0" w:space="0" w:color="auto"/>
        <w:left w:val="none" w:sz="0" w:space="0" w:color="auto"/>
        <w:bottom w:val="none" w:sz="0" w:space="0" w:color="auto"/>
        <w:right w:val="none" w:sz="0" w:space="0" w:color="auto"/>
      </w:divBdr>
      <w:divsChild>
        <w:div w:id="2118254821">
          <w:marLeft w:val="0"/>
          <w:marRight w:val="0"/>
          <w:marTop w:val="0"/>
          <w:marBottom w:val="0"/>
          <w:divBdr>
            <w:top w:val="none" w:sz="0" w:space="0" w:color="auto"/>
            <w:left w:val="none" w:sz="0" w:space="0" w:color="auto"/>
            <w:bottom w:val="none" w:sz="0" w:space="0" w:color="auto"/>
            <w:right w:val="none" w:sz="0" w:space="0" w:color="auto"/>
          </w:divBdr>
          <w:divsChild>
            <w:div w:id="1410805810">
              <w:marLeft w:val="0"/>
              <w:marRight w:val="0"/>
              <w:marTop w:val="0"/>
              <w:marBottom w:val="0"/>
              <w:divBdr>
                <w:top w:val="none" w:sz="0" w:space="0" w:color="auto"/>
                <w:left w:val="none" w:sz="0" w:space="0" w:color="auto"/>
                <w:bottom w:val="none" w:sz="0" w:space="0" w:color="auto"/>
                <w:right w:val="none" w:sz="0" w:space="0" w:color="auto"/>
              </w:divBdr>
              <w:divsChild>
                <w:div w:id="112990949">
                  <w:marLeft w:val="0"/>
                  <w:marRight w:val="0"/>
                  <w:marTop w:val="0"/>
                  <w:marBottom w:val="0"/>
                  <w:divBdr>
                    <w:top w:val="none" w:sz="0" w:space="0" w:color="auto"/>
                    <w:left w:val="none" w:sz="0" w:space="0" w:color="auto"/>
                    <w:bottom w:val="none" w:sz="0" w:space="0" w:color="auto"/>
                    <w:right w:val="none" w:sz="0" w:space="0" w:color="auto"/>
                  </w:divBdr>
                  <w:divsChild>
                    <w:div w:id="1448046273">
                      <w:marLeft w:val="0"/>
                      <w:marRight w:val="0"/>
                      <w:marTop w:val="0"/>
                      <w:marBottom w:val="0"/>
                      <w:divBdr>
                        <w:top w:val="none" w:sz="0" w:space="0" w:color="auto"/>
                        <w:left w:val="none" w:sz="0" w:space="0" w:color="auto"/>
                        <w:bottom w:val="none" w:sz="0" w:space="0" w:color="auto"/>
                        <w:right w:val="none" w:sz="0" w:space="0" w:color="auto"/>
                      </w:divBdr>
                      <w:divsChild>
                        <w:div w:id="2125925783">
                          <w:marLeft w:val="0"/>
                          <w:marRight w:val="0"/>
                          <w:marTop w:val="0"/>
                          <w:marBottom w:val="0"/>
                          <w:divBdr>
                            <w:top w:val="none" w:sz="0" w:space="0" w:color="auto"/>
                            <w:left w:val="none" w:sz="0" w:space="0" w:color="auto"/>
                            <w:bottom w:val="none" w:sz="0" w:space="0" w:color="auto"/>
                            <w:right w:val="none" w:sz="0" w:space="0" w:color="auto"/>
                          </w:divBdr>
                          <w:divsChild>
                            <w:div w:id="938441613">
                              <w:marLeft w:val="0"/>
                              <w:marRight w:val="0"/>
                              <w:marTop w:val="0"/>
                              <w:marBottom w:val="0"/>
                              <w:divBdr>
                                <w:top w:val="none" w:sz="0" w:space="0" w:color="auto"/>
                                <w:left w:val="none" w:sz="0" w:space="0" w:color="auto"/>
                                <w:bottom w:val="none" w:sz="0" w:space="0" w:color="auto"/>
                                <w:right w:val="none" w:sz="0" w:space="0" w:color="auto"/>
                              </w:divBdr>
                              <w:divsChild>
                                <w:div w:id="1747266825">
                                  <w:marLeft w:val="0"/>
                                  <w:marRight w:val="0"/>
                                  <w:marTop w:val="0"/>
                                  <w:marBottom w:val="0"/>
                                  <w:divBdr>
                                    <w:top w:val="none" w:sz="0" w:space="0" w:color="auto"/>
                                    <w:left w:val="none" w:sz="0" w:space="0" w:color="auto"/>
                                    <w:bottom w:val="none" w:sz="0" w:space="0" w:color="auto"/>
                                    <w:right w:val="none" w:sz="0" w:space="0" w:color="auto"/>
                                  </w:divBdr>
                                  <w:divsChild>
                                    <w:div w:id="4784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670432">
      <w:bodyDiv w:val="1"/>
      <w:marLeft w:val="0"/>
      <w:marRight w:val="0"/>
      <w:marTop w:val="0"/>
      <w:marBottom w:val="0"/>
      <w:divBdr>
        <w:top w:val="none" w:sz="0" w:space="0" w:color="auto"/>
        <w:left w:val="none" w:sz="0" w:space="0" w:color="auto"/>
        <w:bottom w:val="none" w:sz="0" w:space="0" w:color="auto"/>
        <w:right w:val="none" w:sz="0" w:space="0" w:color="auto"/>
      </w:divBdr>
    </w:div>
    <w:div w:id="1632323506">
      <w:bodyDiv w:val="1"/>
      <w:marLeft w:val="0"/>
      <w:marRight w:val="0"/>
      <w:marTop w:val="0"/>
      <w:marBottom w:val="0"/>
      <w:divBdr>
        <w:top w:val="none" w:sz="0" w:space="0" w:color="auto"/>
        <w:left w:val="none" w:sz="0" w:space="0" w:color="auto"/>
        <w:bottom w:val="none" w:sz="0" w:space="0" w:color="auto"/>
        <w:right w:val="none" w:sz="0" w:space="0" w:color="auto"/>
      </w:divBdr>
    </w:div>
    <w:div w:id="1705012693">
      <w:bodyDiv w:val="1"/>
      <w:marLeft w:val="0"/>
      <w:marRight w:val="0"/>
      <w:marTop w:val="0"/>
      <w:marBottom w:val="0"/>
      <w:divBdr>
        <w:top w:val="none" w:sz="0" w:space="0" w:color="auto"/>
        <w:left w:val="none" w:sz="0" w:space="0" w:color="auto"/>
        <w:bottom w:val="none" w:sz="0" w:space="0" w:color="auto"/>
        <w:right w:val="none" w:sz="0" w:space="0" w:color="auto"/>
      </w:divBdr>
      <w:divsChild>
        <w:div w:id="1479490600">
          <w:marLeft w:val="0"/>
          <w:marRight w:val="0"/>
          <w:marTop w:val="0"/>
          <w:marBottom w:val="0"/>
          <w:divBdr>
            <w:top w:val="none" w:sz="0" w:space="0" w:color="auto"/>
            <w:left w:val="none" w:sz="0" w:space="0" w:color="auto"/>
            <w:bottom w:val="none" w:sz="0" w:space="0" w:color="auto"/>
            <w:right w:val="none" w:sz="0" w:space="0" w:color="auto"/>
          </w:divBdr>
          <w:divsChild>
            <w:div w:id="2080054203">
              <w:marLeft w:val="0"/>
              <w:marRight w:val="0"/>
              <w:marTop w:val="0"/>
              <w:marBottom w:val="0"/>
              <w:divBdr>
                <w:top w:val="none" w:sz="0" w:space="0" w:color="auto"/>
                <w:left w:val="none" w:sz="0" w:space="0" w:color="auto"/>
                <w:bottom w:val="none" w:sz="0" w:space="0" w:color="auto"/>
                <w:right w:val="none" w:sz="0" w:space="0" w:color="auto"/>
              </w:divBdr>
              <w:divsChild>
                <w:div w:id="1601453657">
                  <w:marLeft w:val="0"/>
                  <w:marRight w:val="0"/>
                  <w:marTop w:val="0"/>
                  <w:marBottom w:val="0"/>
                  <w:divBdr>
                    <w:top w:val="none" w:sz="0" w:space="0" w:color="auto"/>
                    <w:left w:val="none" w:sz="0" w:space="0" w:color="auto"/>
                    <w:bottom w:val="none" w:sz="0" w:space="0" w:color="auto"/>
                    <w:right w:val="none" w:sz="0" w:space="0" w:color="auto"/>
                  </w:divBdr>
                  <w:divsChild>
                    <w:div w:id="833838489">
                      <w:marLeft w:val="0"/>
                      <w:marRight w:val="0"/>
                      <w:marTop w:val="0"/>
                      <w:marBottom w:val="0"/>
                      <w:divBdr>
                        <w:top w:val="none" w:sz="0" w:space="0" w:color="auto"/>
                        <w:left w:val="none" w:sz="0" w:space="0" w:color="auto"/>
                        <w:bottom w:val="none" w:sz="0" w:space="0" w:color="auto"/>
                        <w:right w:val="none" w:sz="0" w:space="0" w:color="auto"/>
                      </w:divBdr>
                      <w:divsChild>
                        <w:div w:id="29501741">
                          <w:marLeft w:val="0"/>
                          <w:marRight w:val="0"/>
                          <w:marTop w:val="0"/>
                          <w:marBottom w:val="0"/>
                          <w:divBdr>
                            <w:top w:val="none" w:sz="0" w:space="0" w:color="auto"/>
                            <w:left w:val="none" w:sz="0" w:space="0" w:color="auto"/>
                            <w:bottom w:val="none" w:sz="0" w:space="0" w:color="auto"/>
                            <w:right w:val="none" w:sz="0" w:space="0" w:color="auto"/>
                          </w:divBdr>
                          <w:divsChild>
                            <w:div w:id="354962194">
                              <w:marLeft w:val="0"/>
                              <w:marRight w:val="0"/>
                              <w:marTop w:val="0"/>
                              <w:marBottom w:val="0"/>
                              <w:divBdr>
                                <w:top w:val="none" w:sz="0" w:space="0" w:color="auto"/>
                                <w:left w:val="none" w:sz="0" w:space="0" w:color="auto"/>
                                <w:bottom w:val="none" w:sz="0" w:space="0" w:color="auto"/>
                                <w:right w:val="none" w:sz="0" w:space="0" w:color="auto"/>
                              </w:divBdr>
                              <w:divsChild>
                                <w:div w:id="524830529">
                                  <w:marLeft w:val="0"/>
                                  <w:marRight w:val="0"/>
                                  <w:marTop w:val="0"/>
                                  <w:marBottom w:val="0"/>
                                  <w:divBdr>
                                    <w:top w:val="none" w:sz="0" w:space="0" w:color="auto"/>
                                    <w:left w:val="none" w:sz="0" w:space="0" w:color="auto"/>
                                    <w:bottom w:val="none" w:sz="0" w:space="0" w:color="auto"/>
                                    <w:right w:val="none" w:sz="0" w:space="0" w:color="auto"/>
                                  </w:divBdr>
                                  <w:divsChild>
                                    <w:div w:id="1407462003">
                                      <w:marLeft w:val="0"/>
                                      <w:marRight w:val="0"/>
                                      <w:marTop w:val="0"/>
                                      <w:marBottom w:val="0"/>
                                      <w:divBdr>
                                        <w:top w:val="none" w:sz="0" w:space="0" w:color="auto"/>
                                        <w:left w:val="none" w:sz="0" w:space="0" w:color="auto"/>
                                        <w:bottom w:val="none" w:sz="0" w:space="0" w:color="auto"/>
                                        <w:right w:val="none" w:sz="0" w:space="0" w:color="auto"/>
                                      </w:divBdr>
                                      <w:divsChild>
                                        <w:div w:id="112546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0302906">
      <w:bodyDiv w:val="1"/>
      <w:marLeft w:val="0"/>
      <w:marRight w:val="0"/>
      <w:marTop w:val="0"/>
      <w:marBottom w:val="0"/>
      <w:divBdr>
        <w:top w:val="none" w:sz="0" w:space="0" w:color="auto"/>
        <w:left w:val="none" w:sz="0" w:space="0" w:color="auto"/>
        <w:bottom w:val="none" w:sz="0" w:space="0" w:color="auto"/>
        <w:right w:val="none" w:sz="0" w:space="0" w:color="auto"/>
      </w:divBdr>
    </w:div>
    <w:div w:id="1798452507">
      <w:bodyDiv w:val="1"/>
      <w:marLeft w:val="0"/>
      <w:marRight w:val="0"/>
      <w:marTop w:val="0"/>
      <w:marBottom w:val="0"/>
      <w:divBdr>
        <w:top w:val="none" w:sz="0" w:space="0" w:color="auto"/>
        <w:left w:val="none" w:sz="0" w:space="0" w:color="auto"/>
        <w:bottom w:val="none" w:sz="0" w:space="0" w:color="auto"/>
        <w:right w:val="none" w:sz="0" w:space="0" w:color="auto"/>
      </w:divBdr>
      <w:divsChild>
        <w:div w:id="1721707746">
          <w:marLeft w:val="0"/>
          <w:marRight w:val="0"/>
          <w:marTop w:val="0"/>
          <w:marBottom w:val="0"/>
          <w:divBdr>
            <w:top w:val="none" w:sz="0" w:space="0" w:color="auto"/>
            <w:left w:val="none" w:sz="0" w:space="0" w:color="auto"/>
            <w:bottom w:val="none" w:sz="0" w:space="0" w:color="auto"/>
            <w:right w:val="none" w:sz="0" w:space="0" w:color="auto"/>
          </w:divBdr>
          <w:divsChild>
            <w:div w:id="727648509">
              <w:marLeft w:val="0"/>
              <w:marRight w:val="0"/>
              <w:marTop w:val="0"/>
              <w:marBottom w:val="0"/>
              <w:divBdr>
                <w:top w:val="none" w:sz="0" w:space="0" w:color="auto"/>
                <w:left w:val="none" w:sz="0" w:space="0" w:color="auto"/>
                <w:bottom w:val="none" w:sz="0" w:space="0" w:color="auto"/>
                <w:right w:val="none" w:sz="0" w:space="0" w:color="auto"/>
              </w:divBdr>
              <w:divsChild>
                <w:div w:id="2018851001">
                  <w:marLeft w:val="0"/>
                  <w:marRight w:val="0"/>
                  <w:marTop w:val="0"/>
                  <w:marBottom w:val="0"/>
                  <w:divBdr>
                    <w:top w:val="none" w:sz="0" w:space="0" w:color="auto"/>
                    <w:left w:val="none" w:sz="0" w:space="0" w:color="auto"/>
                    <w:bottom w:val="none" w:sz="0" w:space="0" w:color="auto"/>
                    <w:right w:val="none" w:sz="0" w:space="0" w:color="auto"/>
                  </w:divBdr>
                  <w:divsChild>
                    <w:div w:id="738216077">
                      <w:marLeft w:val="0"/>
                      <w:marRight w:val="0"/>
                      <w:marTop w:val="0"/>
                      <w:marBottom w:val="0"/>
                      <w:divBdr>
                        <w:top w:val="none" w:sz="0" w:space="0" w:color="auto"/>
                        <w:left w:val="none" w:sz="0" w:space="0" w:color="auto"/>
                        <w:bottom w:val="none" w:sz="0" w:space="0" w:color="auto"/>
                        <w:right w:val="none" w:sz="0" w:space="0" w:color="auto"/>
                      </w:divBdr>
                      <w:divsChild>
                        <w:div w:id="453212753">
                          <w:marLeft w:val="0"/>
                          <w:marRight w:val="0"/>
                          <w:marTop w:val="0"/>
                          <w:marBottom w:val="0"/>
                          <w:divBdr>
                            <w:top w:val="none" w:sz="0" w:space="0" w:color="auto"/>
                            <w:left w:val="none" w:sz="0" w:space="0" w:color="auto"/>
                            <w:bottom w:val="none" w:sz="0" w:space="0" w:color="auto"/>
                            <w:right w:val="none" w:sz="0" w:space="0" w:color="auto"/>
                          </w:divBdr>
                          <w:divsChild>
                            <w:div w:id="2116753467">
                              <w:marLeft w:val="0"/>
                              <w:marRight w:val="0"/>
                              <w:marTop w:val="0"/>
                              <w:marBottom w:val="0"/>
                              <w:divBdr>
                                <w:top w:val="none" w:sz="0" w:space="0" w:color="auto"/>
                                <w:left w:val="none" w:sz="0" w:space="0" w:color="auto"/>
                                <w:bottom w:val="none" w:sz="0" w:space="0" w:color="auto"/>
                                <w:right w:val="none" w:sz="0" w:space="0" w:color="auto"/>
                              </w:divBdr>
                              <w:divsChild>
                                <w:div w:id="210463261">
                                  <w:marLeft w:val="0"/>
                                  <w:marRight w:val="0"/>
                                  <w:marTop w:val="0"/>
                                  <w:marBottom w:val="0"/>
                                  <w:divBdr>
                                    <w:top w:val="none" w:sz="0" w:space="0" w:color="auto"/>
                                    <w:left w:val="none" w:sz="0" w:space="0" w:color="auto"/>
                                    <w:bottom w:val="none" w:sz="0" w:space="0" w:color="auto"/>
                                    <w:right w:val="none" w:sz="0" w:space="0" w:color="auto"/>
                                  </w:divBdr>
                                  <w:divsChild>
                                    <w:div w:id="636106556">
                                      <w:marLeft w:val="0"/>
                                      <w:marRight w:val="0"/>
                                      <w:marTop w:val="0"/>
                                      <w:marBottom w:val="0"/>
                                      <w:divBdr>
                                        <w:top w:val="none" w:sz="0" w:space="0" w:color="auto"/>
                                        <w:left w:val="none" w:sz="0" w:space="0" w:color="auto"/>
                                        <w:bottom w:val="none" w:sz="0" w:space="0" w:color="auto"/>
                                        <w:right w:val="none" w:sz="0" w:space="0" w:color="auto"/>
                                      </w:divBdr>
                                      <w:divsChild>
                                        <w:div w:id="33646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0884634">
      <w:bodyDiv w:val="1"/>
      <w:marLeft w:val="0"/>
      <w:marRight w:val="0"/>
      <w:marTop w:val="0"/>
      <w:marBottom w:val="0"/>
      <w:divBdr>
        <w:top w:val="none" w:sz="0" w:space="0" w:color="auto"/>
        <w:left w:val="none" w:sz="0" w:space="0" w:color="auto"/>
        <w:bottom w:val="none" w:sz="0" w:space="0" w:color="auto"/>
        <w:right w:val="none" w:sz="0" w:space="0" w:color="auto"/>
      </w:divBdr>
    </w:div>
    <w:div w:id="1845778226">
      <w:bodyDiv w:val="1"/>
      <w:marLeft w:val="0"/>
      <w:marRight w:val="0"/>
      <w:marTop w:val="0"/>
      <w:marBottom w:val="0"/>
      <w:divBdr>
        <w:top w:val="none" w:sz="0" w:space="0" w:color="auto"/>
        <w:left w:val="none" w:sz="0" w:space="0" w:color="auto"/>
        <w:bottom w:val="none" w:sz="0" w:space="0" w:color="auto"/>
        <w:right w:val="none" w:sz="0" w:space="0" w:color="auto"/>
      </w:divBdr>
    </w:div>
    <w:div w:id="1864397346">
      <w:bodyDiv w:val="1"/>
      <w:marLeft w:val="0"/>
      <w:marRight w:val="0"/>
      <w:marTop w:val="0"/>
      <w:marBottom w:val="0"/>
      <w:divBdr>
        <w:top w:val="none" w:sz="0" w:space="0" w:color="auto"/>
        <w:left w:val="none" w:sz="0" w:space="0" w:color="auto"/>
        <w:bottom w:val="none" w:sz="0" w:space="0" w:color="auto"/>
        <w:right w:val="none" w:sz="0" w:space="0" w:color="auto"/>
      </w:divBdr>
    </w:div>
    <w:div w:id="1962110364">
      <w:bodyDiv w:val="1"/>
      <w:marLeft w:val="0"/>
      <w:marRight w:val="0"/>
      <w:marTop w:val="0"/>
      <w:marBottom w:val="0"/>
      <w:divBdr>
        <w:top w:val="none" w:sz="0" w:space="0" w:color="auto"/>
        <w:left w:val="none" w:sz="0" w:space="0" w:color="auto"/>
        <w:bottom w:val="none" w:sz="0" w:space="0" w:color="auto"/>
        <w:right w:val="none" w:sz="0" w:space="0" w:color="auto"/>
      </w:divBdr>
    </w:div>
    <w:div w:id="1984235770">
      <w:bodyDiv w:val="1"/>
      <w:marLeft w:val="0"/>
      <w:marRight w:val="0"/>
      <w:marTop w:val="0"/>
      <w:marBottom w:val="0"/>
      <w:divBdr>
        <w:top w:val="none" w:sz="0" w:space="0" w:color="auto"/>
        <w:left w:val="none" w:sz="0" w:space="0" w:color="auto"/>
        <w:bottom w:val="none" w:sz="0" w:space="0" w:color="auto"/>
        <w:right w:val="none" w:sz="0" w:space="0" w:color="auto"/>
      </w:divBdr>
    </w:div>
    <w:div w:id="2017876828">
      <w:bodyDiv w:val="1"/>
      <w:marLeft w:val="0"/>
      <w:marRight w:val="0"/>
      <w:marTop w:val="0"/>
      <w:marBottom w:val="0"/>
      <w:divBdr>
        <w:top w:val="none" w:sz="0" w:space="0" w:color="auto"/>
        <w:left w:val="none" w:sz="0" w:space="0" w:color="auto"/>
        <w:bottom w:val="none" w:sz="0" w:space="0" w:color="auto"/>
        <w:right w:val="none" w:sz="0" w:space="0" w:color="auto"/>
      </w:divBdr>
    </w:div>
    <w:div w:id="2018187227">
      <w:bodyDiv w:val="1"/>
      <w:marLeft w:val="0"/>
      <w:marRight w:val="0"/>
      <w:marTop w:val="0"/>
      <w:marBottom w:val="0"/>
      <w:divBdr>
        <w:top w:val="none" w:sz="0" w:space="0" w:color="auto"/>
        <w:left w:val="none" w:sz="0" w:space="0" w:color="auto"/>
        <w:bottom w:val="none" w:sz="0" w:space="0" w:color="auto"/>
        <w:right w:val="none" w:sz="0" w:space="0" w:color="auto"/>
      </w:divBdr>
    </w:div>
    <w:div w:id="2025941211">
      <w:bodyDiv w:val="1"/>
      <w:marLeft w:val="0"/>
      <w:marRight w:val="0"/>
      <w:marTop w:val="0"/>
      <w:marBottom w:val="0"/>
      <w:divBdr>
        <w:top w:val="none" w:sz="0" w:space="0" w:color="auto"/>
        <w:left w:val="none" w:sz="0" w:space="0" w:color="auto"/>
        <w:bottom w:val="none" w:sz="0" w:space="0" w:color="auto"/>
        <w:right w:val="none" w:sz="0" w:space="0" w:color="auto"/>
      </w:divBdr>
    </w:div>
    <w:div w:id="2037778248">
      <w:bodyDiv w:val="1"/>
      <w:marLeft w:val="0"/>
      <w:marRight w:val="0"/>
      <w:marTop w:val="0"/>
      <w:marBottom w:val="0"/>
      <w:divBdr>
        <w:top w:val="none" w:sz="0" w:space="0" w:color="auto"/>
        <w:left w:val="none" w:sz="0" w:space="0" w:color="auto"/>
        <w:bottom w:val="none" w:sz="0" w:space="0" w:color="auto"/>
        <w:right w:val="none" w:sz="0" w:space="0" w:color="auto"/>
      </w:divBdr>
    </w:div>
    <w:div w:id="2050714094">
      <w:bodyDiv w:val="1"/>
      <w:marLeft w:val="0"/>
      <w:marRight w:val="0"/>
      <w:marTop w:val="0"/>
      <w:marBottom w:val="0"/>
      <w:divBdr>
        <w:top w:val="none" w:sz="0" w:space="0" w:color="auto"/>
        <w:left w:val="none" w:sz="0" w:space="0" w:color="auto"/>
        <w:bottom w:val="none" w:sz="0" w:space="0" w:color="auto"/>
        <w:right w:val="none" w:sz="0" w:space="0" w:color="auto"/>
      </w:divBdr>
    </w:div>
    <w:div w:id="210679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chart" Target="charts/chart33.xml"/><Relationship Id="rId47" Type="http://schemas.openxmlformats.org/officeDocument/2006/relationships/chart" Target="charts/chart38.xml"/><Relationship Id="rId50" Type="http://schemas.openxmlformats.org/officeDocument/2006/relationships/chart" Target="charts/chart41.xml"/><Relationship Id="rId55" Type="http://schemas.openxmlformats.org/officeDocument/2006/relationships/hyperlink" Target="https://www.amfiindia.com/investor?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chart" Target="charts/chart20.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chart" Target="charts/chart31.xml"/><Relationship Id="rId45" Type="http://schemas.openxmlformats.org/officeDocument/2006/relationships/chart" Target="charts/chart36.xml"/><Relationship Id="rId53" Type="http://schemas.openxmlformats.org/officeDocument/2006/relationships/chart" Target="charts/chart44.xml"/><Relationship Id="rId58" Type="http://schemas.openxmlformats.org/officeDocument/2006/relationships/hyperlink" Target="https://investor.sebi.gov.in/?utm_source=chatgpt.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chart" Target="charts/chart34.xml"/><Relationship Id="rId48" Type="http://schemas.openxmlformats.org/officeDocument/2006/relationships/chart" Target="charts/chart39.xml"/><Relationship Id="rId56" Type="http://schemas.openxmlformats.org/officeDocument/2006/relationships/hyperlink" Target="https://www.amfiindia.com/?utm_source=chatgpt.com" TargetMode="External"/><Relationship Id="rId8" Type="http://schemas.openxmlformats.org/officeDocument/2006/relationships/image" Target="media/image1.jpeg"/><Relationship Id="rId51" Type="http://schemas.openxmlformats.org/officeDocument/2006/relationships/chart" Target="charts/chart42.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hyperlink" Target="https://www.sebi.gov.in/?utm_source=chatgpt.com" TargetMode="External"/><Relationship Id="rId20" Type="http://schemas.openxmlformats.org/officeDocument/2006/relationships/chart" Target="charts/chart11.xml"/><Relationship Id="rId41" Type="http://schemas.openxmlformats.org/officeDocument/2006/relationships/chart" Target="charts/chart32.xml"/><Relationship Id="rId54" Type="http://schemas.openxmlformats.org/officeDocument/2006/relationships/hyperlink" Target="https://www.amfiindia.com/investor/knowledge-center-info?zoneName=IntroductionMutualFunds&amp;utm_source=chatgpt.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hyperlink" Target="https://www.geojit.com/?utm_source=chatgpt.com" TargetMode="External"/><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eojit.com?utm_source=chatgpt.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Sheet1!$E$106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Sheet1!$D$107:$D$111</c:f>
              <c:strCache>
                <c:ptCount val="5"/>
                <c:pt idx="0">
                  <c:v>Upto 30 years</c:v>
                </c:pt>
                <c:pt idx="1">
                  <c:v>31–40 years</c:v>
                </c:pt>
                <c:pt idx="2">
                  <c:v>41–50 years</c:v>
                </c:pt>
                <c:pt idx="3">
                  <c:v>51–60 years</c:v>
                </c:pt>
                <c:pt idx="4">
                  <c:v>Above 60 years</c:v>
                </c:pt>
              </c:strCache>
            </c:strRef>
          </c:cat>
          <c:val>
            <c:numRef>
              <c:f>Sheet1!$E$107:$E$111</c:f>
              <c:numCache>
                <c:formatCode>General</c:formatCode>
                <c:ptCount val="5"/>
                <c:pt idx="0">
                  <c:v>30</c:v>
                </c:pt>
                <c:pt idx="1">
                  <c:v>25</c:v>
                </c:pt>
                <c:pt idx="2">
                  <c:v>20</c:v>
                </c:pt>
                <c:pt idx="3">
                  <c:v>15</c:v>
                </c:pt>
                <c:pt idx="4">
                  <c:v>10</c:v>
                </c:pt>
              </c:numCache>
            </c:numRef>
          </c:val>
          <c:extLst>
            <c:ext xmlns:c16="http://schemas.microsoft.com/office/drawing/2014/chart" uri="{C3380CC4-5D6E-409C-BE32-E72D297353CC}">
              <c16:uniqueId val="{00000000-548F-4E02-93F2-A1CC39512C99}"/>
            </c:ext>
          </c:extLst>
        </c:ser>
        <c:dLbls>
          <c:showLegendKey val="0"/>
          <c:showVal val="0"/>
          <c:showCatName val="0"/>
          <c:showSerName val="0"/>
          <c:showPercent val="0"/>
          <c:showBubbleSize val="0"/>
        </c:dLbls>
        <c:gapWidth val="150"/>
        <c:overlap val="100"/>
        <c:axId val="371942416"/>
        <c:axId val="371944768"/>
      </c:barChart>
      <c:catAx>
        <c:axId val="371942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44768"/>
        <c:crosses val="autoZero"/>
        <c:auto val="1"/>
        <c:lblAlgn val="ctr"/>
        <c:lblOffset val="100"/>
        <c:noMultiLvlLbl val="0"/>
      </c:catAx>
      <c:valAx>
        <c:axId val="37194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42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Sheet1!$E$115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Sheet1!$D$116:$D$118</c:f>
              <c:strCache>
                <c:ptCount val="3"/>
                <c:pt idx="0">
                  <c:v>Male</c:v>
                </c:pt>
                <c:pt idx="1">
                  <c:v>Female</c:v>
                </c:pt>
                <c:pt idx="2">
                  <c:v>Prefer not to say</c:v>
                </c:pt>
              </c:strCache>
            </c:strRef>
          </c:cat>
          <c:val>
            <c:numRef>
              <c:f>Sheet1!$E$116:$E$118</c:f>
              <c:numCache>
                <c:formatCode>General</c:formatCode>
                <c:ptCount val="3"/>
                <c:pt idx="0">
                  <c:v>56</c:v>
                </c:pt>
                <c:pt idx="1">
                  <c:v>42</c:v>
                </c:pt>
                <c:pt idx="2">
                  <c:v>2</c:v>
                </c:pt>
              </c:numCache>
            </c:numRef>
          </c:val>
          <c:extLst>
            <c:ext xmlns:c16="http://schemas.microsoft.com/office/drawing/2014/chart" uri="{C3380CC4-5D6E-409C-BE32-E72D297353CC}">
              <c16:uniqueId val="{00000000-FB3D-403E-BC80-154F874DC746}"/>
            </c:ext>
          </c:extLst>
        </c:ser>
        <c:dLbls>
          <c:showLegendKey val="0"/>
          <c:showVal val="0"/>
          <c:showCatName val="0"/>
          <c:showSerName val="0"/>
          <c:showPercent val="0"/>
          <c:showBubbleSize val="0"/>
        </c:dLbls>
        <c:gapWidth val="150"/>
        <c:overlap val="100"/>
        <c:axId val="371943200"/>
        <c:axId val="371937712"/>
      </c:barChart>
      <c:catAx>
        <c:axId val="371943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7712"/>
        <c:crosses val="autoZero"/>
        <c:auto val="1"/>
        <c:lblAlgn val="ctr"/>
        <c:lblOffset val="100"/>
        <c:noMultiLvlLbl val="0"/>
      </c:catAx>
      <c:valAx>
        <c:axId val="371937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43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Sheet1!$B$121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Sheet1!$A$122:$A$125</c:f>
              <c:strCache>
                <c:ptCount val="4"/>
                <c:pt idx="0">
                  <c:v>Upto HSC</c:v>
                </c:pt>
                <c:pt idx="1">
                  <c:v>Graduation</c:v>
                </c:pt>
                <c:pt idx="2">
                  <c:v>PG</c:v>
                </c:pt>
                <c:pt idx="3">
                  <c:v>Professional Degree</c:v>
                </c:pt>
              </c:strCache>
            </c:strRef>
          </c:cat>
          <c:val>
            <c:numRef>
              <c:f>Sheet1!$B$122:$B$125</c:f>
              <c:numCache>
                <c:formatCode>General</c:formatCode>
                <c:ptCount val="4"/>
                <c:pt idx="0">
                  <c:v>18</c:v>
                </c:pt>
                <c:pt idx="1">
                  <c:v>48</c:v>
                </c:pt>
                <c:pt idx="2">
                  <c:v>24</c:v>
                </c:pt>
                <c:pt idx="3">
                  <c:v>10</c:v>
                </c:pt>
              </c:numCache>
            </c:numRef>
          </c:val>
          <c:extLst>
            <c:ext xmlns:c16="http://schemas.microsoft.com/office/drawing/2014/chart" uri="{C3380CC4-5D6E-409C-BE32-E72D297353CC}">
              <c16:uniqueId val="{00000000-A3E3-4B93-B311-D789C7DBF740}"/>
            </c:ext>
          </c:extLst>
        </c:ser>
        <c:dLbls>
          <c:showLegendKey val="0"/>
          <c:showVal val="0"/>
          <c:showCatName val="0"/>
          <c:showSerName val="0"/>
          <c:showPercent val="0"/>
          <c:showBubbleSize val="0"/>
        </c:dLbls>
        <c:gapWidth val="150"/>
        <c:overlap val="100"/>
        <c:axId val="371938496"/>
        <c:axId val="371933008"/>
      </c:barChart>
      <c:catAx>
        <c:axId val="37193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3008"/>
        <c:crosses val="autoZero"/>
        <c:auto val="1"/>
        <c:lblAlgn val="ctr"/>
        <c:lblOffset val="100"/>
        <c:noMultiLvlLbl val="0"/>
      </c:catAx>
      <c:valAx>
        <c:axId val="371933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Student</c:v>
                </c:pt>
                <c:pt idx="1">
                  <c:v>Salaried</c:v>
                </c:pt>
                <c:pt idx="2">
                  <c:v>Self Employed</c:v>
                </c:pt>
                <c:pt idx="3">
                  <c:v>Housewife</c:v>
                </c:pt>
                <c:pt idx="4">
                  <c:v>Professional</c:v>
                </c:pt>
              </c:strCache>
            </c:strRef>
          </c:cat>
          <c:val>
            <c:numRef>
              <c:f>Sheet1!$B$2:$B$6</c:f>
              <c:numCache>
                <c:formatCode>General</c:formatCode>
                <c:ptCount val="5"/>
                <c:pt idx="0">
                  <c:v>12</c:v>
                </c:pt>
                <c:pt idx="1">
                  <c:v>45</c:v>
                </c:pt>
                <c:pt idx="2">
                  <c:v>20</c:v>
                </c:pt>
                <c:pt idx="3">
                  <c:v>8</c:v>
                </c:pt>
                <c:pt idx="4">
                  <c:v>15</c:v>
                </c:pt>
              </c:numCache>
            </c:numRef>
          </c:val>
          <c:extLst>
            <c:ext xmlns:c16="http://schemas.microsoft.com/office/drawing/2014/chart" uri="{C3380CC4-5D6E-409C-BE32-E72D297353CC}">
              <c16:uniqueId val="{00000000-EE87-417F-A911-0A09E71F4EE1}"/>
            </c:ext>
          </c:extLst>
        </c:ser>
        <c:dLbls>
          <c:showLegendKey val="0"/>
          <c:showVal val="0"/>
          <c:showCatName val="0"/>
          <c:showSerName val="0"/>
          <c:showPercent val="0"/>
          <c:showBubbleSize val="0"/>
        </c:dLbls>
        <c:gapWidth val="150"/>
        <c:overlap val="100"/>
        <c:axId val="371936928"/>
        <c:axId val="371929480"/>
      </c:barChart>
      <c:catAx>
        <c:axId val="37193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29480"/>
        <c:crosses val="autoZero"/>
        <c:auto val="1"/>
        <c:lblAlgn val="ctr"/>
        <c:lblOffset val="100"/>
        <c:noMultiLvlLbl val="0"/>
      </c:catAx>
      <c:valAx>
        <c:axId val="371929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6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Sheet1!$B$14:$B$18</c:f>
              <c:strCache>
                <c:ptCount val="5"/>
                <c:pt idx="0">
                  <c:v>Upto ₹25,000</c:v>
                </c:pt>
                <c:pt idx="1">
                  <c:v>₹25,001–₹50,000</c:v>
                </c:pt>
                <c:pt idx="2">
                  <c:v>₹50,001–₹75,000</c:v>
                </c:pt>
                <c:pt idx="3">
                  <c:v>₹75,001–₹1 lakh</c:v>
                </c:pt>
                <c:pt idx="4">
                  <c:v>₹1 lakh and above</c:v>
                </c:pt>
              </c:strCache>
            </c:strRef>
          </c:cat>
          <c:val>
            <c:numRef>
              <c:f>Sheet1!$C$14:$C$18</c:f>
              <c:numCache>
                <c:formatCode>General</c:formatCode>
                <c:ptCount val="5"/>
                <c:pt idx="0">
                  <c:v>22</c:v>
                </c:pt>
                <c:pt idx="1">
                  <c:v>36</c:v>
                </c:pt>
                <c:pt idx="2">
                  <c:v>24</c:v>
                </c:pt>
                <c:pt idx="3">
                  <c:v>12</c:v>
                </c:pt>
                <c:pt idx="4">
                  <c:v>6</c:v>
                </c:pt>
              </c:numCache>
            </c:numRef>
          </c:val>
          <c:extLst>
            <c:ext xmlns:c16="http://schemas.microsoft.com/office/drawing/2014/chart" uri="{C3380CC4-5D6E-409C-BE32-E72D297353CC}">
              <c16:uniqueId val="{00000000-A5AC-4ED1-84F1-E216DE2F71D9}"/>
            </c:ext>
          </c:extLst>
        </c:ser>
        <c:dLbls>
          <c:showLegendKey val="0"/>
          <c:showVal val="0"/>
          <c:showCatName val="0"/>
          <c:showSerName val="0"/>
          <c:showPercent val="0"/>
          <c:showBubbleSize val="0"/>
        </c:dLbls>
        <c:gapWidth val="150"/>
        <c:overlap val="100"/>
        <c:axId val="371933792"/>
        <c:axId val="371938888"/>
      </c:barChart>
      <c:catAx>
        <c:axId val="3719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8888"/>
        <c:crosses val="autoZero"/>
        <c:auto val="1"/>
        <c:lblAlgn val="ctr"/>
        <c:lblOffset val="100"/>
        <c:noMultiLvlLbl val="0"/>
      </c:catAx>
      <c:valAx>
        <c:axId val="371938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3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Sheet1!$B$26:$B$27</c:f>
              <c:strCache>
                <c:ptCount val="2"/>
                <c:pt idx="0">
                  <c:v>Married</c:v>
                </c:pt>
                <c:pt idx="1">
                  <c:v>Unmarried</c:v>
                </c:pt>
              </c:strCache>
            </c:strRef>
          </c:cat>
          <c:val>
            <c:numRef>
              <c:f>Sheet1!$C$26:$C$27</c:f>
              <c:numCache>
                <c:formatCode>General</c:formatCode>
                <c:ptCount val="2"/>
                <c:pt idx="0">
                  <c:v>58</c:v>
                </c:pt>
                <c:pt idx="1">
                  <c:v>42</c:v>
                </c:pt>
              </c:numCache>
            </c:numRef>
          </c:val>
          <c:extLst>
            <c:ext xmlns:c16="http://schemas.microsoft.com/office/drawing/2014/chart" uri="{C3380CC4-5D6E-409C-BE32-E72D297353CC}">
              <c16:uniqueId val="{00000000-5C9D-4879-9947-699325AD3130}"/>
            </c:ext>
          </c:extLst>
        </c:ser>
        <c:dLbls>
          <c:showLegendKey val="0"/>
          <c:showVal val="0"/>
          <c:showCatName val="0"/>
          <c:showSerName val="0"/>
          <c:showPercent val="0"/>
          <c:showBubbleSize val="0"/>
        </c:dLbls>
        <c:gapWidth val="150"/>
        <c:overlap val="100"/>
        <c:axId val="371937320"/>
        <c:axId val="371929872"/>
      </c:barChart>
      <c:catAx>
        <c:axId val="371937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29872"/>
        <c:crosses val="autoZero"/>
        <c:auto val="1"/>
        <c:lblAlgn val="ctr"/>
        <c:lblOffset val="100"/>
        <c:noMultiLvlLbl val="0"/>
      </c:catAx>
      <c:valAx>
        <c:axId val="371929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7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Sheet1!$C$36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Sheet1!$B$37:$B$39</c:f>
              <c:strCache>
                <c:ptCount val="3"/>
                <c:pt idx="0">
                  <c:v>Less than ₹50,000</c:v>
                </c:pt>
                <c:pt idx="1">
                  <c:v>₹50,001 to ₹1,00,000</c:v>
                </c:pt>
                <c:pt idx="2">
                  <c:v>Above ₹1,00,000</c:v>
                </c:pt>
              </c:strCache>
            </c:strRef>
          </c:cat>
          <c:val>
            <c:numRef>
              <c:f>Sheet1!$C$37:$C$39</c:f>
              <c:numCache>
                <c:formatCode>General</c:formatCode>
                <c:ptCount val="3"/>
                <c:pt idx="0">
                  <c:v>28</c:v>
                </c:pt>
                <c:pt idx="1">
                  <c:v>46</c:v>
                </c:pt>
                <c:pt idx="2">
                  <c:v>26</c:v>
                </c:pt>
              </c:numCache>
            </c:numRef>
          </c:val>
          <c:extLst>
            <c:ext xmlns:c16="http://schemas.microsoft.com/office/drawing/2014/chart" uri="{C3380CC4-5D6E-409C-BE32-E72D297353CC}">
              <c16:uniqueId val="{00000000-233C-4B9E-982A-50234622DD9B}"/>
            </c:ext>
          </c:extLst>
        </c:ser>
        <c:dLbls>
          <c:showLegendKey val="0"/>
          <c:showVal val="0"/>
          <c:showCatName val="0"/>
          <c:showSerName val="0"/>
          <c:showPercent val="0"/>
          <c:showBubbleSize val="0"/>
        </c:dLbls>
        <c:gapWidth val="150"/>
        <c:overlap val="100"/>
        <c:axId val="371931048"/>
        <c:axId val="371933400"/>
      </c:barChart>
      <c:catAx>
        <c:axId val="371931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3400"/>
        <c:crosses val="autoZero"/>
        <c:auto val="1"/>
        <c:lblAlgn val="ctr"/>
        <c:lblOffset val="100"/>
        <c:noMultiLvlLbl val="0"/>
      </c:catAx>
      <c:valAx>
        <c:axId val="371933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1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Sheet1!$C$46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Sheet1!$B$47:$B$50</c:f>
              <c:strCache>
                <c:ptCount val="4"/>
                <c:pt idx="0">
                  <c:v>Less than 1 year</c:v>
                </c:pt>
                <c:pt idx="1">
                  <c:v>1–3 years</c:v>
                </c:pt>
                <c:pt idx="2">
                  <c:v>3–5 years</c:v>
                </c:pt>
                <c:pt idx="3">
                  <c:v>More than 5 years</c:v>
                </c:pt>
              </c:strCache>
            </c:strRef>
          </c:cat>
          <c:val>
            <c:numRef>
              <c:f>Sheet1!$C$47:$C$50</c:f>
              <c:numCache>
                <c:formatCode>General</c:formatCode>
                <c:ptCount val="4"/>
                <c:pt idx="0">
                  <c:v>18</c:v>
                </c:pt>
                <c:pt idx="1">
                  <c:v>42</c:v>
                </c:pt>
                <c:pt idx="2">
                  <c:v>25</c:v>
                </c:pt>
                <c:pt idx="3">
                  <c:v>15</c:v>
                </c:pt>
              </c:numCache>
            </c:numRef>
          </c:val>
          <c:extLst>
            <c:ext xmlns:c16="http://schemas.microsoft.com/office/drawing/2014/chart" uri="{C3380CC4-5D6E-409C-BE32-E72D297353CC}">
              <c16:uniqueId val="{00000000-73D2-4172-B1B0-D0E3EA3583D4}"/>
            </c:ext>
          </c:extLst>
        </c:ser>
        <c:dLbls>
          <c:showLegendKey val="0"/>
          <c:showVal val="0"/>
          <c:showCatName val="0"/>
          <c:showSerName val="0"/>
          <c:showPercent val="0"/>
          <c:showBubbleSize val="0"/>
        </c:dLbls>
        <c:gapWidth val="150"/>
        <c:overlap val="100"/>
        <c:axId val="371932616"/>
        <c:axId val="371938104"/>
      </c:barChart>
      <c:catAx>
        <c:axId val="371932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8104"/>
        <c:crosses val="autoZero"/>
        <c:auto val="1"/>
        <c:lblAlgn val="ctr"/>
        <c:lblOffset val="100"/>
        <c:noMultiLvlLbl val="0"/>
      </c:catAx>
      <c:valAx>
        <c:axId val="371938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2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Sheet1!$D$57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Sheet1!$C$58:$C$60</c:f>
              <c:strCache>
                <c:ptCount val="3"/>
                <c:pt idx="0">
                  <c:v>SIP</c:v>
                </c:pt>
                <c:pt idx="1">
                  <c:v>Lump Sum</c:v>
                </c:pt>
                <c:pt idx="2">
                  <c:v>Both</c:v>
                </c:pt>
              </c:strCache>
            </c:strRef>
          </c:cat>
          <c:val>
            <c:numRef>
              <c:f>Sheet1!$D$58:$D$60</c:f>
              <c:numCache>
                <c:formatCode>General</c:formatCode>
                <c:ptCount val="3"/>
                <c:pt idx="0">
                  <c:v>52</c:v>
                </c:pt>
                <c:pt idx="1">
                  <c:v>18</c:v>
                </c:pt>
                <c:pt idx="2">
                  <c:v>30</c:v>
                </c:pt>
              </c:numCache>
            </c:numRef>
          </c:val>
          <c:extLst>
            <c:ext xmlns:c16="http://schemas.microsoft.com/office/drawing/2014/chart" uri="{C3380CC4-5D6E-409C-BE32-E72D297353CC}">
              <c16:uniqueId val="{00000000-A132-4D03-94D9-2D8AFE1D3067}"/>
            </c:ext>
          </c:extLst>
        </c:ser>
        <c:dLbls>
          <c:showLegendKey val="0"/>
          <c:showVal val="0"/>
          <c:showCatName val="0"/>
          <c:showSerName val="0"/>
          <c:showPercent val="0"/>
          <c:showBubbleSize val="0"/>
        </c:dLbls>
        <c:gapWidth val="150"/>
        <c:overlap val="100"/>
        <c:axId val="371936144"/>
        <c:axId val="371930656"/>
      </c:barChart>
      <c:catAx>
        <c:axId val="37193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0656"/>
        <c:crosses val="autoZero"/>
        <c:auto val="1"/>
        <c:lblAlgn val="ctr"/>
        <c:lblOffset val="100"/>
        <c:noMultiLvlLbl val="0"/>
      </c:catAx>
      <c:valAx>
        <c:axId val="371930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6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Sheet1!$C$65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Sheet1!$B$66:$B$69</c:f>
              <c:strCache>
                <c:ptCount val="4"/>
                <c:pt idx="0">
                  <c:v>Below ₹5,000</c:v>
                </c:pt>
                <c:pt idx="1">
                  <c:v>₹5,001–₹10,000</c:v>
                </c:pt>
                <c:pt idx="2">
                  <c:v>₹10,001–₹25,000</c:v>
                </c:pt>
                <c:pt idx="3">
                  <c:v>Above ₹25,000</c:v>
                </c:pt>
              </c:strCache>
            </c:strRef>
          </c:cat>
          <c:val>
            <c:numRef>
              <c:f>Sheet1!$C$66:$C$69</c:f>
              <c:numCache>
                <c:formatCode>General</c:formatCode>
                <c:ptCount val="4"/>
                <c:pt idx="0">
                  <c:v>38</c:v>
                </c:pt>
                <c:pt idx="1">
                  <c:v>34</c:v>
                </c:pt>
                <c:pt idx="2">
                  <c:v>20</c:v>
                </c:pt>
                <c:pt idx="3">
                  <c:v>8</c:v>
                </c:pt>
              </c:numCache>
            </c:numRef>
          </c:val>
          <c:extLst>
            <c:ext xmlns:c16="http://schemas.microsoft.com/office/drawing/2014/chart" uri="{C3380CC4-5D6E-409C-BE32-E72D297353CC}">
              <c16:uniqueId val="{00000000-4CF3-4A55-BBAD-4A44781A21E4}"/>
            </c:ext>
          </c:extLst>
        </c:ser>
        <c:dLbls>
          <c:showLegendKey val="0"/>
          <c:showVal val="0"/>
          <c:showCatName val="0"/>
          <c:showSerName val="0"/>
          <c:showPercent val="0"/>
          <c:showBubbleSize val="0"/>
        </c:dLbls>
        <c:gapWidth val="150"/>
        <c:overlap val="100"/>
        <c:axId val="371934184"/>
        <c:axId val="371934576"/>
      </c:barChart>
      <c:catAx>
        <c:axId val="371934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4576"/>
        <c:crosses val="autoZero"/>
        <c:auto val="1"/>
        <c:lblAlgn val="ctr"/>
        <c:lblOffset val="100"/>
        <c:noMultiLvlLbl val="0"/>
      </c:catAx>
      <c:valAx>
        <c:axId val="371934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4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Sheet1!$C$78</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Sheet1!$B$79:$B$82</c:f>
              <c:strCache>
                <c:ptCount val="4"/>
                <c:pt idx="0">
                  <c:v>Less than 1 year</c:v>
                </c:pt>
                <c:pt idx="1">
                  <c:v>1–3 years</c:v>
                </c:pt>
                <c:pt idx="2">
                  <c:v>3–5 years</c:v>
                </c:pt>
                <c:pt idx="3">
                  <c:v>Above 5 years</c:v>
                </c:pt>
              </c:strCache>
            </c:strRef>
          </c:cat>
          <c:val>
            <c:numRef>
              <c:f>Sheet1!$C$79:$C$82</c:f>
              <c:numCache>
                <c:formatCode>General</c:formatCode>
                <c:ptCount val="4"/>
                <c:pt idx="0">
                  <c:v>12</c:v>
                </c:pt>
                <c:pt idx="1">
                  <c:v>28</c:v>
                </c:pt>
                <c:pt idx="2">
                  <c:v>34</c:v>
                </c:pt>
                <c:pt idx="3">
                  <c:v>26</c:v>
                </c:pt>
              </c:numCache>
            </c:numRef>
          </c:val>
          <c:extLst>
            <c:ext xmlns:c16="http://schemas.microsoft.com/office/drawing/2014/chart" uri="{C3380CC4-5D6E-409C-BE32-E72D297353CC}">
              <c16:uniqueId val="{00000000-89B8-4450-912D-F4DA0241372D}"/>
            </c:ext>
          </c:extLst>
        </c:ser>
        <c:dLbls>
          <c:showLegendKey val="0"/>
          <c:showVal val="0"/>
          <c:showCatName val="0"/>
          <c:showSerName val="0"/>
          <c:showPercent val="0"/>
          <c:showBubbleSize val="0"/>
        </c:dLbls>
        <c:gapWidth val="150"/>
        <c:overlap val="100"/>
        <c:axId val="371940064"/>
        <c:axId val="371939672"/>
      </c:barChart>
      <c:catAx>
        <c:axId val="371940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9672"/>
        <c:crosses val="autoZero"/>
        <c:auto val="1"/>
        <c:lblAlgn val="ctr"/>
        <c:lblOffset val="100"/>
        <c:noMultiLvlLbl val="0"/>
      </c:catAx>
      <c:valAx>
        <c:axId val="371939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40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Sheet1!$D$88</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Sheet1!$C$89:$C$92</c:f>
              <c:strCache>
                <c:ptCount val="4"/>
                <c:pt idx="0">
                  <c:v>Monthly</c:v>
                </c:pt>
                <c:pt idx="1">
                  <c:v>Quarterly</c:v>
                </c:pt>
                <c:pt idx="2">
                  <c:v>Half-yearly</c:v>
                </c:pt>
                <c:pt idx="3">
                  <c:v>Yearly</c:v>
                </c:pt>
              </c:strCache>
            </c:strRef>
          </c:cat>
          <c:val>
            <c:numRef>
              <c:f>Sheet1!$D$89:$D$92</c:f>
              <c:numCache>
                <c:formatCode>General</c:formatCode>
                <c:ptCount val="4"/>
                <c:pt idx="0">
                  <c:v>32</c:v>
                </c:pt>
                <c:pt idx="1">
                  <c:v>38</c:v>
                </c:pt>
                <c:pt idx="2">
                  <c:v>18</c:v>
                </c:pt>
                <c:pt idx="3">
                  <c:v>12</c:v>
                </c:pt>
              </c:numCache>
            </c:numRef>
          </c:val>
          <c:extLst>
            <c:ext xmlns:c16="http://schemas.microsoft.com/office/drawing/2014/chart" uri="{C3380CC4-5D6E-409C-BE32-E72D297353CC}">
              <c16:uniqueId val="{00000000-6BC3-496F-8B84-417ADD802167}"/>
            </c:ext>
          </c:extLst>
        </c:ser>
        <c:dLbls>
          <c:showLegendKey val="0"/>
          <c:showVal val="0"/>
          <c:showCatName val="0"/>
          <c:showSerName val="0"/>
          <c:showPercent val="0"/>
          <c:showBubbleSize val="0"/>
        </c:dLbls>
        <c:gapWidth val="150"/>
        <c:overlap val="100"/>
        <c:axId val="371934968"/>
        <c:axId val="371936536"/>
      </c:barChart>
      <c:catAx>
        <c:axId val="371934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6536"/>
        <c:crosses val="autoZero"/>
        <c:auto val="1"/>
        <c:lblAlgn val="ctr"/>
        <c:lblOffset val="100"/>
        <c:noMultiLvlLbl val="0"/>
      </c:catAx>
      <c:valAx>
        <c:axId val="371936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934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Sheet1!$C$98</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Sheet1!$B$99:$B$101</c:f>
              <c:strCache>
                <c:ptCount val="3"/>
                <c:pt idx="0">
                  <c:v>Yes</c:v>
                </c:pt>
                <c:pt idx="1">
                  <c:v>No</c:v>
                </c:pt>
                <c:pt idx="2">
                  <c:v>Maybe</c:v>
                </c:pt>
              </c:strCache>
            </c:strRef>
          </c:cat>
          <c:val>
            <c:numRef>
              <c:f>Sheet1!$C$99:$C$101</c:f>
              <c:numCache>
                <c:formatCode>General</c:formatCode>
                <c:ptCount val="3"/>
                <c:pt idx="0">
                  <c:v>62</c:v>
                </c:pt>
                <c:pt idx="1">
                  <c:v>18</c:v>
                </c:pt>
                <c:pt idx="2">
                  <c:v>20</c:v>
                </c:pt>
              </c:numCache>
            </c:numRef>
          </c:val>
          <c:extLst>
            <c:ext xmlns:c16="http://schemas.microsoft.com/office/drawing/2014/chart" uri="{C3380CC4-5D6E-409C-BE32-E72D297353CC}">
              <c16:uniqueId val="{00000000-9594-4B1D-B990-18C2F91C982D}"/>
            </c:ext>
          </c:extLst>
        </c:ser>
        <c:dLbls>
          <c:showLegendKey val="0"/>
          <c:showVal val="0"/>
          <c:showCatName val="0"/>
          <c:showSerName val="0"/>
          <c:showPercent val="0"/>
          <c:showBubbleSize val="0"/>
        </c:dLbls>
        <c:gapWidth val="150"/>
        <c:overlap val="100"/>
        <c:axId val="368760464"/>
        <c:axId val="368758504"/>
      </c:barChart>
      <c:catAx>
        <c:axId val="36876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58504"/>
        <c:crosses val="autoZero"/>
        <c:auto val="1"/>
        <c:lblAlgn val="ctr"/>
        <c:lblOffset val="100"/>
        <c:noMultiLvlLbl val="0"/>
      </c:catAx>
      <c:valAx>
        <c:axId val="368758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60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Sheet1!$D$107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Sheet1!$C$108:$C$110</c:f>
              <c:strCache>
                <c:ptCount val="3"/>
                <c:pt idx="0">
                  <c:v>Yes</c:v>
                </c:pt>
                <c:pt idx="1">
                  <c:v>No</c:v>
                </c:pt>
                <c:pt idx="2">
                  <c:v>Sometimes</c:v>
                </c:pt>
              </c:strCache>
            </c:strRef>
          </c:cat>
          <c:val>
            <c:numRef>
              <c:f>Sheet1!$D$108:$D$110</c:f>
              <c:numCache>
                <c:formatCode>General</c:formatCode>
                <c:ptCount val="3"/>
                <c:pt idx="0">
                  <c:v>55</c:v>
                </c:pt>
                <c:pt idx="1">
                  <c:v>17</c:v>
                </c:pt>
                <c:pt idx="2">
                  <c:v>28</c:v>
                </c:pt>
              </c:numCache>
            </c:numRef>
          </c:val>
          <c:extLst>
            <c:ext xmlns:c16="http://schemas.microsoft.com/office/drawing/2014/chart" uri="{C3380CC4-5D6E-409C-BE32-E72D297353CC}">
              <c16:uniqueId val="{00000000-DA3E-4EB9-9810-36DA8A2CE226}"/>
            </c:ext>
          </c:extLst>
        </c:ser>
        <c:dLbls>
          <c:showLegendKey val="0"/>
          <c:showVal val="0"/>
          <c:showCatName val="0"/>
          <c:showSerName val="0"/>
          <c:showPercent val="0"/>
          <c:showBubbleSize val="0"/>
        </c:dLbls>
        <c:gapWidth val="150"/>
        <c:overlap val="100"/>
        <c:axId val="368763992"/>
        <c:axId val="368764384"/>
      </c:barChart>
      <c:catAx>
        <c:axId val="368763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64384"/>
        <c:crosses val="autoZero"/>
        <c:auto val="1"/>
        <c:lblAlgn val="ctr"/>
        <c:lblOffset val="100"/>
        <c:noMultiLvlLbl val="0"/>
      </c:catAx>
      <c:valAx>
        <c:axId val="368764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63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Equity Fund</c:v>
                </c:pt>
                <c:pt idx="1">
                  <c:v>Debt Fund</c:v>
                </c:pt>
                <c:pt idx="2">
                  <c:v>Hybrid Fund</c:v>
                </c:pt>
                <c:pt idx="3">
                  <c:v>Index Fund</c:v>
                </c:pt>
                <c:pt idx="4">
                  <c:v>ELSS/Tax Saving Fund</c:v>
                </c:pt>
              </c:strCache>
            </c:strRef>
          </c:cat>
          <c:val>
            <c:numRef>
              <c:f>Sheet1!$B$2:$B$6</c:f>
              <c:numCache>
                <c:formatCode>General</c:formatCode>
                <c:ptCount val="5"/>
                <c:pt idx="0">
                  <c:v>38</c:v>
                </c:pt>
                <c:pt idx="1">
                  <c:v>15</c:v>
                </c:pt>
                <c:pt idx="2">
                  <c:v>24</c:v>
                </c:pt>
                <c:pt idx="3">
                  <c:v>10</c:v>
                </c:pt>
                <c:pt idx="4">
                  <c:v>13</c:v>
                </c:pt>
              </c:numCache>
            </c:numRef>
          </c:val>
          <c:extLst>
            <c:ext xmlns:c16="http://schemas.microsoft.com/office/drawing/2014/chart" uri="{C3380CC4-5D6E-409C-BE32-E72D297353CC}">
              <c16:uniqueId val="{00000000-EC10-445B-BCBE-0C8E98C85530}"/>
            </c:ext>
          </c:extLst>
        </c:ser>
        <c:dLbls>
          <c:showLegendKey val="0"/>
          <c:showVal val="0"/>
          <c:showCatName val="0"/>
          <c:showSerName val="0"/>
          <c:showPercent val="0"/>
          <c:showBubbleSize val="0"/>
        </c:dLbls>
        <c:gapWidth val="150"/>
        <c:overlap val="100"/>
        <c:axId val="368759680"/>
        <c:axId val="368757720"/>
      </c:barChart>
      <c:catAx>
        <c:axId val="36875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57720"/>
        <c:crosses val="autoZero"/>
        <c:auto val="1"/>
        <c:lblAlgn val="ctr"/>
        <c:lblOffset val="100"/>
        <c:noMultiLvlLbl val="0"/>
      </c:catAx>
      <c:valAx>
        <c:axId val="368757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59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Sheet1!$B$14:$B$16</c:f>
              <c:strCache>
                <c:ptCount val="3"/>
                <c:pt idx="0">
                  <c:v>Low</c:v>
                </c:pt>
                <c:pt idx="1">
                  <c:v>Moderate</c:v>
                </c:pt>
                <c:pt idx="2">
                  <c:v>High</c:v>
                </c:pt>
              </c:strCache>
            </c:strRef>
          </c:cat>
          <c:val>
            <c:numRef>
              <c:f>Sheet1!$C$14:$C$16</c:f>
              <c:numCache>
                <c:formatCode>General</c:formatCode>
                <c:ptCount val="3"/>
                <c:pt idx="0">
                  <c:v>24</c:v>
                </c:pt>
                <c:pt idx="1">
                  <c:v>58</c:v>
                </c:pt>
                <c:pt idx="2">
                  <c:v>18</c:v>
                </c:pt>
              </c:numCache>
            </c:numRef>
          </c:val>
          <c:extLst>
            <c:ext xmlns:c16="http://schemas.microsoft.com/office/drawing/2014/chart" uri="{C3380CC4-5D6E-409C-BE32-E72D297353CC}">
              <c16:uniqueId val="{00000000-235D-44F2-B81B-238723E0547F}"/>
            </c:ext>
          </c:extLst>
        </c:ser>
        <c:dLbls>
          <c:showLegendKey val="0"/>
          <c:showVal val="0"/>
          <c:showCatName val="0"/>
          <c:showSerName val="0"/>
          <c:showPercent val="0"/>
          <c:showBubbleSize val="0"/>
        </c:dLbls>
        <c:gapWidth val="150"/>
        <c:overlap val="100"/>
        <c:axId val="368760856"/>
        <c:axId val="289033224"/>
      </c:barChart>
      <c:catAx>
        <c:axId val="368760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033224"/>
        <c:crosses val="autoZero"/>
        <c:auto val="1"/>
        <c:lblAlgn val="ctr"/>
        <c:lblOffset val="100"/>
        <c:noMultiLvlLbl val="0"/>
      </c:catAx>
      <c:valAx>
        <c:axId val="289033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760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Sheet1!$D$22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Sheet1!$C$23:$C$27</c:f>
              <c:strCache>
                <c:ptCount val="5"/>
                <c:pt idx="0">
                  <c:v>Retirement Planning</c:v>
                </c:pt>
                <c:pt idx="1">
                  <c:v>Wealth Creation</c:v>
                </c:pt>
                <c:pt idx="2">
                  <c:v>Children’s Education/Marriage</c:v>
                </c:pt>
                <c:pt idx="3">
                  <c:v>Tax Benefit</c:v>
                </c:pt>
                <c:pt idx="4">
                  <c:v>Diversification</c:v>
                </c:pt>
              </c:strCache>
            </c:strRef>
          </c:cat>
          <c:val>
            <c:numRef>
              <c:f>Sheet1!$D$23:$D$27</c:f>
              <c:numCache>
                <c:formatCode>General</c:formatCode>
                <c:ptCount val="5"/>
                <c:pt idx="0">
                  <c:v>20</c:v>
                </c:pt>
                <c:pt idx="1">
                  <c:v>36</c:v>
                </c:pt>
                <c:pt idx="2">
                  <c:v>14</c:v>
                </c:pt>
                <c:pt idx="3">
                  <c:v>18</c:v>
                </c:pt>
                <c:pt idx="4">
                  <c:v>12</c:v>
                </c:pt>
              </c:numCache>
            </c:numRef>
          </c:val>
          <c:extLst>
            <c:ext xmlns:c16="http://schemas.microsoft.com/office/drawing/2014/chart" uri="{C3380CC4-5D6E-409C-BE32-E72D297353CC}">
              <c16:uniqueId val="{00000000-1A9A-422A-B18A-BA4031E06DC2}"/>
            </c:ext>
          </c:extLst>
        </c:ser>
        <c:dLbls>
          <c:showLegendKey val="0"/>
          <c:showVal val="0"/>
          <c:showCatName val="0"/>
          <c:showSerName val="0"/>
          <c:showPercent val="0"/>
          <c:showBubbleSize val="0"/>
        </c:dLbls>
        <c:gapWidth val="150"/>
        <c:overlap val="100"/>
        <c:axId val="289026952"/>
        <c:axId val="387128232"/>
      </c:barChart>
      <c:catAx>
        <c:axId val="289026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8232"/>
        <c:crosses val="autoZero"/>
        <c:auto val="1"/>
        <c:lblAlgn val="ctr"/>
        <c:lblOffset val="100"/>
        <c:noMultiLvlLbl val="0"/>
      </c:catAx>
      <c:valAx>
        <c:axId val="387128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026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Sheet1!$C$36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Sheet1!$B$37:$B$40</c:f>
              <c:strCache>
                <c:ptCount val="4"/>
                <c:pt idx="0">
                  <c:v>Agent</c:v>
                </c:pt>
                <c:pt idx="1">
                  <c:v>Bank</c:v>
                </c:pt>
                <c:pt idx="2">
                  <c:v>Online Platform</c:v>
                </c:pt>
                <c:pt idx="3">
                  <c:v>Registrar/Transfer Agent</c:v>
                </c:pt>
              </c:strCache>
            </c:strRef>
          </c:cat>
          <c:val>
            <c:numRef>
              <c:f>Sheet1!$C$37:$C$40</c:f>
              <c:numCache>
                <c:formatCode>General</c:formatCode>
                <c:ptCount val="4"/>
                <c:pt idx="0">
                  <c:v>24</c:v>
                </c:pt>
                <c:pt idx="1">
                  <c:v>18</c:v>
                </c:pt>
                <c:pt idx="2">
                  <c:v>42</c:v>
                </c:pt>
                <c:pt idx="3">
                  <c:v>16</c:v>
                </c:pt>
              </c:numCache>
            </c:numRef>
          </c:val>
          <c:extLst>
            <c:ext xmlns:c16="http://schemas.microsoft.com/office/drawing/2014/chart" uri="{C3380CC4-5D6E-409C-BE32-E72D297353CC}">
              <c16:uniqueId val="{00000000-109F-4742-BE8B-F018B6734116}"/>
            </c:ext>
          </c:extLst>
        </c:ser>
        <c:dLbls>
          <c:showLegendKey val="0"/>
          <c:showVal val="0"/>
          <c:showCatName val="0"/>
          <c:showSerName val="0"/>
          <c:showPercent val="0"/>
          <c:showBubbleSize val="0"/>
        </c:dLbls>
        <c:gapWidth val="150"/>
        <c:overlap val="100"/>
        <c:axId val="387127056"/>
        <c:axId val="387130192"/>
      </c:barChart>
      <c:catAx>
        <c:axId val="38712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0192"/>
        <c:crosses val="autoZero"/>
        <c:auto val="1"/>
        <c:lblAlgn val="ctr"/>
        <c:lblOffset val="100"/>
        <c:noMultiLvlLbl val="0"/>
      </c:catAx>
      <c:valAx>
        <c:axId val="387130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7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Sheet1!$E$46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Sheet1!$D$47:$D$51</c:f>
              <c:strCache>
                <c:ptCount val="5"/>
                <c:pt idx="0">
                  <c:v>Self-decision</c:v>
                </c:pt>
                <c:pt idx="1">
                  <c:v>Family/Friends/Relatives</c:v>
                </c:pt>
                <c:pt idx="2">
                  <c:v>Media Reports</c:v>
                </c:pt>
                <c:pt idx="3">
                  <c:v>Brokers/Bank Advice</c:v>
                </c:pt>
                <c:pt idx="4">
                  <c:v>Advertisement</c:v>
                </c:pt>
              </c:strCache>
            </c:strRef>
          </c:cat>
          <c:val>
            <c:numRef>
              <c:f>Sheet1!$E$47:$E$51</c:f>
              <c:numCache>
                <c:formatCode>General</c:formatCode>
                <c:ptCount val="5"/>
                <c:pt idx="0">
                  <c:v>35</c:v>
                </c:pt>
                <c:pt idx="1">
                  <c:v>20</c:v>
                </c:pt>
                <c:pt idx="2">
                  <c:v>10</c:v>
                </c:pt>
                <c:pt idx="3">
                  <c:v>28</c:v>
                </c:pt>
                <c:pt idx="4">
                  <c:v>7</c:v>
                </c:pt>
              </c:numCache>
            </c:numRef>
          </c:val>
          <c:extLst>
            <c:ext xmlns:c16="http://schemas.microsoft.com/office/drawing/2014/chart" uri="{C3380CC4-5D6E-409C-BE32-E72D297353CC}">
              <c16:uniqueId val="{00000000-CA4D-456F-8D4A-6AE4C38C289E}"/>
            </c:ext>
          </c:extLst>
        </c:ser>
        <c:dLbls>
          <c:showLegendKey val="0"/>
          <c:showVal val="0"/>
          <c:showCatName val="0"/>
          <c:showSerName val="0"/>
          <c:showPercent val="0"/>
          <c:showBubbleSize val="0"/>
        </c:dLbls>
        <c:gapWidth val="150"/>
        <c:overlap val="100"/>
        <c:axId val="387124312"/>
        <c:axId val="387127448"/>
      </c:barChart>
      <c:catAx>
        <c:axId val="387124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7448"/>
        <c:crosses val="autoZero"/>
        <c:auto val="1"/>
        <c:lblAlgn val="ctr"/>
        <c:lblOffset val="100"/>
        <c:noMultiLvlLbl val="0"/>
      </c:catAx>
      <c:valAx>
        <c:axId val="387127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4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Sheet1!$C$55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Sheet1!$B$56:$B$58</c:f>
              <c:strCache>
                <c:ptCount val="3"/>
                <c:pt idx="0">
                  <c:v>Growth Option</c:v>
                </c:pt>
                <c:pt idx="1">
                  <c:v>Dividend Payout</c:v>
                </c:pt>
                <c:pt idx="2">
                  <c:v>Dividend Reinvestment</c:v>
                </c:pt>
              </c:strCache>
            </c:strRef>
          </c:cat>
          <c:val>
            <c:numRef>
              <c:f>Sheet1!$C$56:$C$58</c:f>
              <c:numCache>
                <c:formatCode>General</c:formatCode>
                <c:ptCount val="3"/>
                <c:pt idx="0">
                  <c:v>62</c:v>
                </c:pt>
                <c:pt idx="1">
                  <c:v>22</c:v>
                </c:pt>
                <c:pt idx="2">
                  <c:v>16</c:v>
                </c:pt>
              </c:numCache>
            </c:numRef>
          </c:val>
          <c:extLst>
            <c:ext xmlns:c16="http://schemas.microsoft.com/office/drawing/2014/chart" uri="{C3380CC4-5D6E-409C-BE32-E72D297353CC}">
              <c16:uniqueId val="{00000000-B3D4-4D89-ACB0-E4C35FF21594}"/>
            </c:ext>
          </c:extLst>
        </c:ser>
        <c:dLbls>
          <c:showLegendKey val="0"/>
          <c:showVal val="0"/>
          <c:showCatName val="0"/>
          <c:showSerName val="0"/>
          <c:showPercent val="0"/>
          <c:showBubbleSize val="0"/>
        </c:dLbls>
        <c:gapWidth val="150"/>
        <c:overlap val="100"/>
        <c:axId val="387120784"/>
        <c:axId val="387130584"/>
      </c:barChart>
      <c:catAx>
        <c:axId val="38712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0584"/>
        <c:crosses val="autoZero"/>
        <c:auto val="1"/>
        <c:lblAlgn val="ctr"/>
        <c:lblOffset val="100"/>
        <c:noMultiLvlLbl val="0"/>
      </c:catAx>
      <c:valAx>
        <c:axId val="387130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0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Sheet1!$C$64</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Sheet1!$B$65:$B$67</c:f>
              <c:strCache>
                <c:ptCount val="3"/>
                <c:pt idx="0">
                  <c:v>Lump Sum/Full Withdrawal</c:v>
                </c:pt>
                <c:pt idx="1">
                  <c:v>Systematic Withdrawal Plan</c:v>
                </c:pt>
                <c:pt idx="2">
                  <c:v>Partial Withdrawal</c:v>
                </c:pt>
              </c:strCache>
            </c:strRef>
          </c:cat>
          <c:val>
            <c:numRef>
              <c:f>Sheet1!$C$65:$C$67</c:f>
              <c:numCache>
                <c:formatCode>General</c:formatCode>
                <c:ptCount val="3"/>
                <c:pt idx="0">
                  <c:v>34</c:v>
                </c:pt>
                <c:pt idx="1">
                  <c:v>38</c:v>
                </c:pt>
                <c:pt idx="2">
                  <c:v>28</c:v>
                </c:pt>
              </c:numCache>
            </c:numRef>
          </c:val>
          <c:extLst>
            <c:ext xmlns:c16="http://schemas.microsoft.com/office/drawing/2014/chart" uri="{C3380CC4-5D6E-409C-BE32-E72D297353CC}">
              <c16:uniqueId val="{00000000-2B89-46A7-AF05-067966F5F6B1}"/>
            </c:ext>
          </c:extLst>
        </c:ser>
        <c:dLbls>
          <c:showLegendKey val="0"/>
          <c:showVal val="0"/>
          <c:showCatName val="0"/>
          <c:showSerName val="0"/>
          <c:showPercent val="0"/>
          <c:showBubbleSize val="0"/>
        </c:dLbls>
        <c:gapWidth val="150"/>
        <c:overlap val="100"/>
        <c:axId val="387127840"/>
        <c:axId val="387121960"/>
      </c:barChart>
      <c:catAx>
        <c:axId val="38712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1960"/>
        <c:crosses val="autoZero"/>
        <c:auto val="1"/>
        <c:lblAlgn val="ctr"/>
        <c:lblOffset val="100"/>
        <c:noMultiLvlLbl val="0"/>
      </c:catAx>
      <c:valAx>
        <c:axId val="387121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7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Sheet1!$C$75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Sheet1!$B$76:$B$81</c:f>
              <c:strCache>
                <c:ptCount val="6"/>
                <c:pt idx="0">
                  <c:v>Return</c:v>
                </c:pt>
                <c:pt idx="1">
                  <c:v>Risk</c:v>
                </c:pt>
                <c:pt idx="2">
                  <c:v>Liquidity</c:v>
                </c:pt>
                <c:pt idx="3">
                  <c:v>Tax Benefits</c:v>
                </c:pt>
                <c:pt idx="4">
                  <c:v>Advisor Suggestion</c:v>
                </c:pt>
                <c:pt idx="5">
                  <c:v>Brand Reputation</c:v>
                </c:pt>
              </c:strCache>
            </c:strRef>
          </c:cat>
          <c:val>
            <c:numRef>
              <c:f>Sheet1!$C$76:$C$81</c:f>
              <c:numCache>
                <c:formatCode>General</c:formatCode>
                <c:ptCount val="6"/>
                <c:pt idx="0">
                  <c:v>34</c:v>
                </c:pt>
                <c:pt idx="1">
                  <c:v>24</c:v>
                </c:pt>
                <c:pt idx="2">
                  <c:v>14</c:v>
                </c:pt>
                <c:pt idx="3">
                  <c:v>12</c:v>
                </c:pt>
                <c:pt idx="4">
                  <c:v>10</c:v>
                </c:pt>
                <c:pt idx="5">
                  <c:v>6</c:v>
                </c:pt>
              </c:numCache>
            </c:numRef>
          </c:val>
          <c:extLst>
            <c:ext xmlns:c16="http://schemas.microsoft.com/office/drawing/2014/chart" uri="{C3380CC4-5D6E-409C-BE32-E72D297353CC}">
              <c16:uniqueId val="{00000000-A10B-4785-BC80-A2EAFFC1412F}"/>
            </c:ext>
          </c:extLst>
        </c:ser>
        <c:dLbls>
          <c:showLegendKey val="0"/>
          <c:showVal val="0"/>
          <c:showCatName val="0"/>
          <c:showSerName val="0"/>
          <c:showPercent val="0"/>
          <c:showBubbleSize val="0"/>
        </c:dLbls>
        <c:gapWidth val="150"/>
        <c:overlap val="100"/>
        <c:axId val="387121568"/>
        <c:axId val="387123528"/>
      </c:barChart>
      <c:catAx>
        <c:axId val="3871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3528"/>
        <c:crosses val="autoZero"/>
        <c:auto val="1"/>
        <c:lblAlgn val="ctr"/>
        <c:lblOffset val="100"/>
        <c:noMultiLvlLbl val="0"/>
      </c:catAx>
      <c:valAx>
        <c:axId val="387123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Sheet1!$D$86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Sheet1!$C$87:$C$89</c:f>
              <c:strCache>
                <c:ptCount val="3"/>
                <c:pt idx="0">
                  <c:v>Yes</c:v>
                </c:pt>
                <c:pt idx="1">
                  <c:v>No</c:v>
                </c:pt>
                <c:pt idx="2">
                  <c:v>Sometimes</c:v>
                </c:pt>
              </c:strCache>
            </c:strRef>
          </c:cat>
          <c:val>
            <c:numRef>
              <c:f>Sheet1!$D$87:$D$89</c:f>
              <c:numCache>
                <c:formatCode>General</c:formatCode>
                <c:ptCount val="3"/>
                <c:pt idx="0">
                  <c:v>42</c:v>
                </c:pt>
                <c:pt idx="1">
                  <c:v>18</c:v>
                </c:pt>
                <c:pt idx="2">
                  <c:v>40</c:v>
                </c:pt>
              </c:numCache>
            </c:numRef>
          </c:val>
          <c:extLst>
            <c:ext xmlns:c16="http://schemas.microsoft.com/office/drawing/2014/chart" uri="{C3380CC4-5D6E-409C-BE32-E72D297353CC}">
              <c16:uniqueId val="{00000000-81FA-4CDF-AFF1-BE35CDED8EA9}"/>
            </c:ext>
          </c:extLst>
        </c:ser>
        <c:dLbls>
          <c:showLegendKey val="0"/>
          <c:showVal val="0"/>
          <c:showCatName val="0"/>
          <c:showSerName val="0"/>
          <c:showPercent val="0"/>
          <c:showBubbleSize val="0"/>
        </c:dLbls>
        <c:gapWidth val="150"/>
        <c:overlap val="100"/>
        <c:axId val="387125096"/>
        <c:axId val="387124704"/>
      </c:barChart>
      <c:catAx>
        <c:axId val="387125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4704"/>
        <c:crosses val="autoZero"/>
        <c:auto val="1"/>
        <c:lblAlgn val="ctr"/>
        <c:lblOffset val="100"/>
        <c:noMultiLvlLbl val="0"/>
      </c:catAx>
      <c:valAx>
        <c:axId val="387124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5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Sheet1!$C$93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Sheet1!$B$94:$B$98</c:f>
              <c:strCache>
                <c:ptCount val="5"/>
                <c:pt idx="0">
                  <c:v>Very Important</c:v>
                </c:pt>
                <c:pt idx="1">
                  <c:v>Important</c:v>
                </c:pt>
                <c:pt idx="2">
                  <c:v>Neutral</c:v>
                </c:pt>
                <c:pt idx="3">
                  <c:v>Not Important</c:v>
                </c:pt>
                <c:pt idx="4">
                  <c:v>Not at all Important</c:v>
                </c:pt>
              </c:strCache>
            </c:strRef>
          </c:cat>
          <c:val>
            <c:numRef>
              <c:f>Sheet1!$C$94:$C$98</c:f>
              <c:numCache>
                <c:formatCode>General</c:formatCode>
                <c:ptCount val="5"/>
                <c:pt idx="0">
                  <c:v>48</c:v>
                </c:pt>
                <c:pt idx="1">
                  <c:v>32</c:v>
                </c:pt>
                <c:pt idx="2">
                  <c:v>12</c:v>
                </c:pt>
                <c:pt idx="3">
                  <c:v>6</c:v>
                </c:pt>
                <c:pt idx="4">
                  <c:v>2</c:v>
                </c:pt>
              </c:numCache>
            </c:numRef>
          </c:val>
          <c:extLst>
            <c:ext xmlns:c16="http://schemas.microsoft.com/office/drawing/2014/chart" uri="{C3380CC4-5D6E-409C-BE32-E72D297353CC}">
              <c16:uniqueId val="{00000000-C215-4BAC-903C-72EFA3AF7FB8}"/>
            </c:ext>
          </c:extLst>
        </c:ser>
        <c:dLbls>
          <c:showLegendKey val="0"/>
          <c:showVal val="0"/>
          <c:showCatName val="0"/>
          <c:showSerName val="0"/>
          <c:showPercent val="0"/>
          <c:showBubbleSize val="0"/>
        </c:dLbls>
        <c:gapWidth val="150"/>
        <c:overlap val="100"/>
        <c:axId val="387129800"/>
        <c:axId val="387125488"/>
      </c:barChart>
      <c:catAx>
        <c:axId val="387129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5488"/>
        <c:crosses val="autoZero"/>
        <c:auto val="1"/>
        <c:lblAlgn val="ctr"/>
        <c:lblOffset val="100"/>
        <c:noMultiLvlLbl val="0"/>
      </c:catAx>
      <c:valAx>
        <c:axId val="38712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9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Sheet1!$C$115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Sheet1!$B$116:$B$120</c:f>
              <c:strCache>
                <c:ptCount val="5"/>
                <c:pt idx="0">
                  <c:v>Very Important</c:v>
                </c:pt>
                <c:pt idx="1">
                  <c:v>Important</c:v>
                </c:pt>
                <c:pt idx="2">
                  <c:v>Neutral</c:v>
                </c:pt>
                <c:pt idx="3">
                  <c:v>Not Important</c:v>
                </c:pt>
                <c:pt idx="4">
                  <c:v>Not at all Important</c:v>
                </c:pt>
              </c:strCache>
            </c:strRef>
          </c:cat>
          <c:val>
            <c:numRef>
              <c:f>Sheet1!$C$116:$C$120</c:f>
              <c:numCache>
                <c:formatCode>General</c:formatCode>
                <c:ptCount val="5"/>
                <c:pt idx="0">
                  <c:v>36</c:v>
                </c:pt>
                <c:pt idx="1">
                  <c:v>34</c:v>
                </c:pt>
                <c:pt idx="2">
                  <c:v>18</c:v>
                </c:pt>
                <c:pt idx="3">
                  <c:v>8</c:v>
                </c:pt>
                <c:pt idx="4">
                  <c:v>4</c:v>
                </c:pt>
              </c:numCache>
            </c:numRef>
          </c:val>
          <c:extLst>
            <c:ext xmlns:c16="http://schemas.microsoft.com/office/drawing/2014/chart" uri="{C3380CC4-5D6E-409C-BE32-E72D297353CC}">
              <c16:uniqueId val="{00000000-0312-4184-8A1B-7F4DF19D4A5A}"/>
            </c:ext>
          </c:extLst>
        </c:ser>
        <c:dLbls>
          <c:showLegendKey val="0"/>
          <c:showVal val="0"/>
          <c:showCatName val="0"/>
          <c:showSerName val="0"/>
          <c:showPercent val="0"/>
          <c:showBubbleSize val="0"/>
        </c:dLbls>
        <c:gapWidth val="150"/>
        <c:overlap val="100"/>
        <c:axId val="387125880"/>
        <c:axId val="387129016"/>
      </c:barChart>
      <c:catAx>
        <c:axId val="387125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9016"/>
        <c:crosses val="autoZero"/>
        <c:auto val="1"/>
        <c:lblAlgn val="ctr"/>
        <c:lblOffset val="100"/>
        <c:noMultiLvlLbl val="0"/>
      </c:catAx>
      <c:valAx>
        <c:axId val="387129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5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Sheet1!$C$126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Sheet1!$B$127:$B$131</c:f>
              <c:strCache>
                <c:ptCount val="5"/>
                <c:pt idx="0">
                  <c:v>Very Important</c:v>
                </c:pt>
                <c:pt idx="1">
                  <c:v>Important</c:v>
                </c:pt>
                <c:pt idx="2">
                  <c:v>Neutral</c:v>
                </c:pt>
                <c:pt idx="3">
                  <c:v>Not Important</c:v>
                </c:pt>
                <c:pt idx="4">
                  <c:v>Not at all Important</c:v>
                </c:pt>
              </c:strCache>
            </c:strRef>
          </c:cat>
          <c:val>
            <c:numRef>
              <c:f>Sheet1!$C$127:$C$131</c:f>
              <c:numCache>
                <c:formatCode>General</c:formatCode>
                <c:ptCount val="5"/>
                <c:pt idx="0">
                  <c:v>34</c:v>
                </c:pt>
                <c:pt idx="1">
                  <c:v>38</c:v>
                </c:pt>
                <c:pt idx="2">
                  <c:v>16</c:v>
                </c:pt>
                <c:pt idx="3">
                  <c:v>8</c:v>
                </c:pt>
                <c:pt idx="4">
                  <c:v>4</c:v>
                </c:pt>
              </c:numCache>
            </c:numRef>
          </c:val>
          <c:extLst>
            <c:ext xmlns:c16="http://schemas.microsoft.com/office/drawing/2014/chart" uri="{C3380CC4-5D6E-409C-BE32-E72D297353CC}">
              <c16:uniqueId val="{00000000-16C7-42E3-9F68-C47050F5EA5F}"/>
            </c:ext>
          </c:extLst>
        </c:ser>
        <c:dLbls>
          <c:showLegendKey val="0"/>
          <c:showVal val="0"/>
          <c:showCatName val="0"/>
          <c:showSerName val="0"/>
          <c:showPercent val="0"/>
          <c:showBubbleSize val="0"/>
        </c:dLbls>
        <c:gapWidth val="150"/>
        <c:overlap val="100"/>
        <c:axId val="387126272"/>
        <c:axId val="387126664"/>
      </c:barChart>
      <c:catAx>
        <c:axId val="38712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6664"/>
        <c:crosses val="autoZero"/>
        <c:auto val="1"/>
        <c:lblAlgn val="ctr"/>
        <c:lblOffset val="100"/>
        <c:noMultiLvlLbl val="0"/>
      </c:catAx>
      <c:valAx>
        <c:axId val="387126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6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Sheet1!$C$137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Sheet1!$B$138:$B$142</c:f>
              <c:strCache>
                <c:ptCount val="5"/>
                <c:pt idx="0">
                  <c:v>Very Important</c:v>
                </c:pt>
                <c:pt idx="1">
                  <c:v>Important</c:v>
                </c:pt>
                <c:pt idx="2">
                  <c:v>Neutral</c:v>
                </c:pt>
                <c:pt idx="3">
                  <c:v>Not Important</c:v>
                </c:pt>
                <c:pt idx="4">
                  <c:v>Not at all Important</c:v>
                </c:pt>
              </c:strCache>
            </c:strRef>
          </c:cat>
          <c:val>
            <c:numRef>
              <c:f>Sheet1!$C$138:$C$142</c:f>
              <c:numCache>
                <c:formatCode>General</c:formatCode>
                <c:ptCount val="5"/>
                <c:pt idx="0">
                  <c:v>46</c:v>
                </c:pt>
                <c:pt idx="1">
                  <c:v>34</c:v>
                </c:pt>
                <c:pt idx="2">
                  <c:v>12</c:v>
                </c:pt>
                <c:pt idx="3">
                  <c:v>6</c:v>
                </c:pt>
                <c:pt idx="4">
                  <c:v>2</c:v>
                </c:pt>
              </c:numCache>
            </c:numRef>
          </c:val>
          <c:extLst>
            <c:ext xmlns:c16="http://schemas.microsoft.com/office/drawing/2014/chart" uri="{C3380CC4-5D6E-409C-BE32-E72D297353CC}">
              <c16:uniqueId val="{00000000-6862-4F8E-8755-67BDF5B1E5A4}"/>
            </c:ext>
          </c:extLst>
        </c:ser>
        <c:dLbls>
          <c:showLegendKey val="0"/>
          <c:showVal val="0"/>
          <c:showCatName val="0"/>
          <c:showSerName val="0"/>
          <c:showPercent val="0"/>
          <c:showBubbleSize val="0"/>
        </c:dLbls>
        <c:gapWidth val="150"/>
        <c:overlap val="100"/>
        <c:axId val="387119216"/>
        <c:axId val="387129408"/>
      </c:barChart>
      <c:catAx>
        <c:axId val="387119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29408"/>
        <c:crosses val="autoZero"/>
        <c:auto val="1"/>
        <c:lblAlgn val="ctr"/>
        <c:lblOffset val="100"/>
        <c:noMultiLvlLbl val="0"/>
      </c:catAx>
      <c:valAx>
        <c:axId val="387129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19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Sheet1!$C$149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Sheet1!$B$150:$B$154</c:f>
              <c:strCache>
                <c:ptCount val="5"/>
                <c:pt idx="0">
                  <c:v>Very Important</c:v>
                </c:pt>
                <c:pt idx="1">
                  <c:v>Important</c:v>
                </c:pt>
                <c:pt idx="2">
                  <c:v>Neutral</c:v>
                </c:pt>
                <c:pt idx="3">
                  <c:v>Not Important</c:v>
                </c:pt>
                <c:pt idx="4">
                  <c:v>Not at all Important</c:v>
                </c:pt>
              </c:strCache>
            </c:strRef>
          </c:cat>
          <c:val>
            <c:numRef>
              <c:f>Sheet1!$C$150:$C$154</c:f>
              <c:numCache>
                <c:formatCode>General</c:formatCode>
                <c:ptCount val="5"/>
                <c:pt idx="0">
                  <c:v>32</c:v>
                </c:pt>
                <c:pt idx="1">
                  <c:v>36</c:v>
                </c:pt>
                <c:pt idx="2">
                  <c:v>18</c:v>
                </c:pt>
                <c:pt idx="3">
                  <c:v>10</c:v>
                </c:pt>
                <c:pt idx="4">
                  <c:v>4</c:v>
                </c:pt>
              </c:numCache>
            </c:numRef>
          </c:val>
          <c:extLst>
            <c:ext xmlns:c16="http://schemas.microsoft.com/office/drawing/2014/chart" uri="{C3380CC4-5D6E-409C-BE32-E72D297353CC}">
              <c16:uniqueId val="{00000000-5FEF-4294-8B18-26AD4663BBB1}"/>
            </c:ext>
          </c:extLst>
        </c:ser>
        <c:dLbls>
          <c:showLegendKey val="0"/>
          <c:showVal val="0"/>
          <c:showCatName val="0"/>
          <c:showSerName val="0"/>
          <c:showPercent val="0"/>
          <c:showBubbleSize val="0"/>
        </c:dLbls>
        <c:gapWidth val="150"/>
        <c:overlap val="100"/>
        <c:axId val="387134112"/>
        <c:axId val="387131368"/>
      </c:barChart>
      <c:catAx>
        <c:axId val="387134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1368"/>
        <c:crosses val="autoZero"/>
        <c:auto val="1"/>
        <c:lblAlgn val="ctr"/>
        <c:lblOffset val="100"/>
        <c:noMultiLvlLbl val="0"/>
      </c:catAx>
      <c:valAx>
        <c:axId val="387131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4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Sheet1!$B$157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Sheet1!$A$158:$A$162</c:f>
              <c:strCache>
                <c:ptCount val="5"/>
                <c:pt idx="0">
                  <c:v>Very Important</c:v>
                </c:pt>
                <c:pt idx="1">
                  <c:v>Important</c:v>
                </c:pt>
                <c:pt idx="2">
                  <c:v>Neutral</c:v>
                </c:pt>
                <c:pt idx="3">
                  <c:v>Not Important</c:v>
                </c:pt>
                <c:pt idx="4">
                  <c:v>Not at all Important</c:v>
                </c:pt>
              </c:strCache>
            </c:strRef>
          </c:cat>
          <c:val>
            <c:numRef>
              <c:f>Sheet1!$B$158:$B$162</c:f>
              <c:numCache>
                <c:formatCode>General</c:formatCode>
                <c:ptCount val="5"/>
                <c:pt idx="0">
                  <c:v>40</c:v>
                </c:pt>
                <c:pt idx="1">
                  <c:v>36</c:v>
                </c:pt>
                <c:pt idx="2">
                  <c:v>14</c:v>
                </c:pt>
                <c:pt idx="3">
                  <c:v>7</c:v>
                </c:pt>
                <c:pt idx="4">
                  <c:v>3</c:v>
                </c:pt>
              </c:numCache>
            </c:numRef>
          </c:val>
          <c:extLst>
            <c:ext xmlns:c16="http://schemas.microsoft.com/office/drawing/2014/chart" uri="{C3380CC4-5D6E-409C-BE32-E72D297353CC}">
              <c16:uniqueId val="{00000000-9381-4A6C-9E9C-C8C281DEC176}"/>
            </c:ext>
          </c:extLst>
        </c:ser>
        <c:dLbls>
          <c:showLegendKey val="0"/>
          <c:showVal val="0"/>
          <c:showCatName val="0"/>
          <c:showSerName val="0"/>
          <c:showPercent val="0"/>
          <c:showBubbleSize val="0"/>
        </c:dLbls>
        <c:gapWidth val="150"/>
        <c:overlap val="100"/>
        <c:axId val="387132544"/>
        <c:axId val="387133720"/>
      </c:barChart>
      <c:catAx>
        <c:axId val="38713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3720"/>
        <c:crosses val="autoZero"/>
        <c:auto val="1"/>
        <c:lblAlgn val="ctr"/>
        <c:lblOffset val="100"/>
        <c:noMultiLvlLbl val="0"/>
      </c:catAx>
      <c:valAx>
        <c:axId val="387133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2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Sheet1!$B$167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Sheet1!$A$168:$A$172</c:f>
              <c:strCache>
                <c:ptCount val="5"/>
                <c:pt idx="0">
                  <c:v>Very Important</c:v>
                </c:pt>
                <c:pt idx="1">
                  <c:v>Important</c:v>
                </c:pt>
                <c:pt idx="2">
                  <c:v>Neutral</c:v>
                </c:pt>
                <c:pt idx="3">
                  <c:v>Not Important</c:v>
                </c:pt>
                <c:pt idx="4">
                  <c:v>Not at all Important</c:v>
                </c:pt>
              </c:strCache>
            </c:strRef>
          </c:cat>
          <c:val>
            <c:numRef>
              <c:f>Sheet1!$B$168:$B$172</c:f>
              <c:numCache>
                <c:formatCode>General</c:formatCode>
                <c:ptCount val="5"/>
                <c:pt idx="0">
                  <c:v>35</c:v>
                </c:pt>
                <c:pt idx="1">
                  <c:v>37</c:v>
                </c:pt>
                <c:pt idx="2">
                  <c:v>16</c:v>
                </c:pt>
                <c:pt idx="3">
                  <c:v>8</c:v>
                </c:pt>
                <c:pt idx="4">
                  <c:v>4</c:v>
                </c:pt>
              </c:numCache>
            </c:numRef>
          </c:val>
          <c:extLst>
            <c:ext xmlns:c16="http://schemas.microsoft.com/office/drawing/2014/chart" uri="{C3380CC4-5D6E-409C-BE32-E72D297353CC}">
              <c16:uniqueId val="{00000000-C5AA-4DED-B63C-9DC19515F6D2}"/>
            </c:ext>
          </c:extLst>
        </c:ser>
        <c:dLbls>
          <c:showLegendKey val="0"/>
          <c:showVal val="0"/>
          <c:showCatName val="0"/>
          <c:showSerName val="0"/>
          <c:showPercent val="0"/>
          <c:showBubbleSize val="0"/>
        </c:dLbls>
        <c:gapWidth val="150"/>
        <c:overlap val="100"/>
        <c:axId val="387132936"/>
        <c:axId val="387133328"/>
      </c:barChart>
      <c:catAx>
        <c:axId val="387132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3328"/>
        <c:crosses val="autoZero"/>
        <c:auto val="1"/>
        <c:lblAlgn val="ctr"/>
        <c:lblOffset val="100"/>
        <c:noMultiLvlLbl val="0"/>
      </c:catAx>
      <c:valAx>
        <c:axId val="387133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132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Sheet1!$C$179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Sheet1!$B$180:$B$184</c:f>
              <c:strCache>
                <c:ptCount val="5"/>
                <c:pt idx="0">
                  <c:v>Very Important</c:v>
                </c:pt>
                <c:pt idx="1">
                  <c:v>Important</c:v>
                </c:pt>
                <c:pt idx="2">
                  <c:v>Neutral</c:v>
                </c:pt>
                <c:pt idx="3">
                  <c:v>Not Important</c:v>
                </c:pt>
                <c:pt idx="4">
                  <c:v>Not at all Important</c:v>
                </c:pt>
              </c:strCache>
            </c:strRef>
          </c:cat>
          <c:val>
            <c:numRef>
              <c:f>Sheet1!$C$180:$C$184</c:f>
              <c:numCache>
                <c:formatCode>General</c:formatCode>
                <c:ptCount val="5"/>
                <c:pt idx="0">
                  <c:v>34</c:v>
                </c:pt>
                <c:pt idx="1">
                  <c:v>38</c:v>
                </c:pt>
                <c:pt idx="2">
                  <c:v>16</c:v>
                </c:pt>
                <c:pt idx="3">
                  <c:v>8</c:v>
                </c:pt>
                <c:pt idx="4">
                  <c:v>4</c:v>
                </c:pt>
              </c:numCache>
            </c:numRef>
          </c:val>
          <c:extLst>
            <c:ext xmlns:c16="http://schemas.microsoft.com/office/drawing/2014/chart" uri="{C3380CC4-5D6E-409C-BE32-E72D297353CC}">
              <c16:uniqueId val="{00000000-8405-480D-9D44-A86C9C08526F}"/>
            </c:ext>
          </c:extLst>
        </c:ser>
        <c:dLbls>
          <c:showLegendKey val="0"/>
          <c:showVal val="0"/>
          <c:showCatName val="0"/>
          <c:showSerName val="0"/>
          <c:showPercent val="0"/>
          <c:showBubbleSize val="0"/>
        </c:dLbls>
        <c:gapWidth val="150"/>
        <c:overlap val="100"/>
        <c:axId val="370031552"/>
        <c:axId val="370029200"/>
      </c:barChart>
      <c:catAx>
        <c:axId val="37003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9200"/>
        <c:crosses val="autoZero"/>
        <c:auto val="1"/>
        <c:lblAlgn val="ctr"/>
        <c:lblOffset val="100"/>
        <c:noMultiLvlLbl val="0"/>
      </c:catAx>
      <c:valAx>
        <c:axId val="370029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1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Sheet1!$C$190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Sheet1!$B$191:$B$195</c:f>
              <c:strCache>
                <c:ptCount val="5"/>
                <c:pt idx="0">
                  <c:v>Very Important</c:v>
                </c:pt>
                <c:pt idx="1">
                  <c:v>Important</c:v>
                </c:pt>
                <c:pt idx="2">
                  <c:v>Neutral</c:v>
                </c:pt>
                <c:pt idx="3">
                  <c:v>Not Important</c:v>
                </c:pt>
                <c:pt idx="4">
                  <c:v>Not at all Important</c:v>
                </c:pt>
              </c:strCache>
            </c:strRef>
          </c:cat>
          <c:val>
            <c:numRef>
              <c:f>Sheet1!$C$191:$C$195</c:f>
              <c:numCache>
                <c:formatCode>General</c:formatCode>
                <c:ptCount val="5"/>
                <c:pt idx="0">
                  <c:v>28</c:v>
                </c:pt>
                <c:pt idx="1">
                  <c:v>36</c:v>
                </c:pt>
                <c:pt idx="2">
                  <c:v>20</c:v>
                </c:pt>
                <c:pt idx="3">
                  <c:v>10</c:v>
                </c:pt>
                <c:pt idx="4">
                  <c:v>6</c:v>
                </c:pt>
              </c:numCache>
            </c:numRef>
          </c:val>
          <c:extLst>
            <c:ext xmlns:c16="http://schemas.microsoft.com/office/drawing/2014/chart" uri="{C3380CC4-5D6E-409C-BE32-E72D297353CC}">
              <c16:uniqueId val="{00000000-4A29-463E-9CA5-C8BA42B49E9F}"/>
            </c:ext>
          </c:extLst>
        </c:ser>
        <c:dLbls>
          <c:showLegendKey val="0"/>
          <c:showVal val="0"/>
          <c:showCatName val="0"/>
          <c:showSerName val="0"/>
          <c:showPercent val="0"/>
          <c:showBubbleSize val="0"/>
        </c:dLbls>
        <c:gapWidth val="150"/>
        <c:overlap val="100"/>
        <c:axId val="370028808"/>
        <c:axId val="370030768"/>
      </c:barChart>
      <c:catAx>
        <c:axId val="370028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0768"/>
        <c:crosses val="autoZero"/>
        <c:auto val="1"/>
        <c:lblAlgn val="ctr"/>
        <c:lblOffset val="100"/>
        <c:noMultiLvlLbl val="0"/>
      </c:catAx>
      <c:valAx>
        <c:axId val="370030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8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Sheet1!$D$205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Sheet1!$C$206:$C$210</c:f>
              <c:strCache>
                <c:ptCount val="5"/>
                <c:pt idx="0">
                  <c:v>Very Important</c:v>
                </c:pt>
                <c:pt idx="1">
                  <c:v>Important</c:v>
                </c:pt>
                <c:pt idx="2">
                  <c:v>Neutral</c:v>
                </c:pt>
                <c:pt idx="3">
                  <c:v>Not Important</c:v>
                </c:pt>
                <c:pt idx="4">
                  <c:v>Not at all Important</c:v>
                </c:pt>
              </c:strCache>
            </c:strRef>
          </c:cat>
          <c:val>
            <c:numRef>
              <c:f>Sheet1!$D$206:$D$210</c:f>
              <c:numCache>
                <c:formatCode>General</c:formatCode>
                <c:ptCount val="5"/>
                <c:pt idx="0">
                  <c:v>30</c:v>
                </c:pt>
                <c:pt idx="1">
                  <c:v>38</c:v>
                </c:pt>
                <c:pt idx="2">
                  <c:v>18</c:v>
                </c:pt>
                <c:pt idx="3">
                  <c:v>9</c:v>
                </c:pt>
                <c:pt idx="4">
                  <c:v>5</c:v>
                </c:pt>
              </c:numCache>
            </c:numRef>
          </c:val>
          <c:extLst>
            <c:ext xmlns:c16="http://schemas.microsoft.com/office/drawing/2014/chart" uri="{C3380CC4-5D6E-409C-BE32-E72D297353CC}">
              <c16:uniqueId val="{00000000-32B0-4C0B-ADEB-A1EE63D7B56D}"/>
            </c:ext>
          </c:extLst>
        </c:ser>
        <c:dLbls>
          <c:showLegendKey val="0"/>
          <c:showVal val="0"/>
          <c:showCatName val="0"/>
          <c:showSerName val="0"/>
          <c:showPercent val="0"/>
          <c:showBubbleSize val="0"/>
        </c:dLbls>
        <c:gapWidth val="150"/>
        <c:overlap val="100"/>
        <c:axId val="370034688"/>
        <c:axId val="370024496"/>
      </c:barChart>
      <c:catAx>
        <c:axId val="37003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4496"/>
        <c:crosses val="autoZero"/>
        <c:auto val="1"/>
        <c:lblAlgn val="ctr"/>
        <c:lblOffset val="100"/>
        <c:noMultiLvlLbl val="0"/>
      </c:catAx>
      <c:valAx>
        <c:axId val="370024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4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Sheet1!$B$215</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Sheet1!$A$216:$A$219</c:f>
              <c:strCache>
                <c:ptCount val="4"/>
                <c:pt idx="0">
                  <c:v>Mutual Funds</c:v>
                </c:pt>
                <c:pt idx="1">
                  <c:v>Stock Market</c:v>
                </c:pt>
                <c:pt idx="2">
                  <c:v>Bank Deposits</c:v>
                </c:pt>
                <c:pt idx="3">
                  <c:v>Others</c:v>
                </c:pt>
              </c:strCache>
            </c:strRef>
          </c:cat>
          <c:val>
            <c:numRef>
              <c:f>Sheet1!$B$216:$B$219</c:f>
              <c:numCache>
                <c:formatCode>General</c:formatCode>
                <c:ptCount val="4"/>
                <c:pt idx="0">
                  <c:v>32</c:v>
                </c:pt>
                <c:pt idx="1">
                  <c:v>10</c:v>
                </c:pt>
                <c:pt idx="2">
                  <c:v>52</c:v>
                </c:pt>
                <c:pt idx="3">
                  <c:v>6</c:v>
                </c:pt>
              </c:numCache>
            </c:numRef>
          </c:val>
          <c:extLst>
            <c:ext xmlns:c16="http://schemas.microsoft.com/office/drawing/2014/chart" uri="{C3380CC4-5D6E-409C-BE32-E72D297353CC}">
              <c16:uniqueId val="{00000000-2F1C-4732-A55B-C707FEC4192C}"/>
            </c:ext>
          </c:extLst>
        </c:ser>
        <c:dLbls>
          <c:showLegendKey val="0"/>
          <c:showVal val="0"/>
          <c:showCatName val="0"/>
          <c:showSerName val="0"/>
          <c:showPercent val="0"/>
          <c:showBubbleSize val="0"/>
        </c:dLbls>
        <c:gapWidth val="150"/>
        <c:overlap val="100"/>
        <c:axId val="370035864"/>
        <c:axId val="370033904"/>
      </c:barChart>
      <c:catAx>
        <c:axId val="370035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3904"/>
        <c:crosses val="autoZero"/>
        <c:auto val="1"/>
        <c:lblAlgn val="ctr"/>
        <c:lblOffset val="100"/>
        <c:noMultiLvlLbl val="0"/>
      </c:catAx>
      <c:valAx>
        <c:axId val="37003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5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Sheet1!$H$226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Sheet1!$G$227:$G$232</c:f>
              <c:strCache>
                <c:ptCount val="6"/>
                <c:pt idx="0">
                  <c:v>Lack of Knowledge</c:v>
                </c:pt>
                <c:pt idx="1">
                  <c:v>Fear of Risk/Market Loss</c:v>
                </c:pt>
                <c:pt idx="2">
                  <c:v>Difficulty in Selection of Schemes</c:v>
                </c:pt>
                <c:pt idx="3">
                  <c:v>Insufficient Income</c:v>
                </c:pt>
                <c:pt idx="4">
                  <c:v>High Market Volatility</c:v>
                </c:pt>
                <c:pt idx="5">
                  <c:v>Others</c:v>
                </c:pt>
              </c:strCache>
            </c:strRef>
          </c:cat>
          <c:val>
            <c:numRef>
              <c:f>Sheet1!$H$227:$H$232</c:f>
              <c:numCache>
                <c:formatCode>General</c:formatCode>
                <c:ptCount val="6"/>
                <c:pt idx="0">
                  <c:v>30</c:v>
                </c:pt>
                <c:pt idx="1">
                  <c:v>28</c:v>
                </c:pt>
                <c:pt idx="2">
                  <c:v>18</c:v>
                </c:pt>
                <c:pt idx="3">
                  <c:v>14</c:v>
                </c:pt>
                <c:pt idx="4">
                  <c:v>8</c:v>
                </c:pt>
                <c:pt idx="5">
                  <c:v>2</c:v>
                </c:pt>
              </c:numCache>
            </c:numRef>
          </c:val>
          <c:extLst>
            <c:ext xmlns:c16="http://schemas.microsoft.com/office/drawing/2014/chart" uri="{C3380CC4-5D6E-409C-BE32-E72D297353CC}">
              <c16:uniqueId val="{00000000-8AFD-463F-9974-811B0195E010}"/>
            </c:ext>
          </c:extLst>
        </c:ser>
        <c:dLbls>
          <c:showLegendKey val="0"/>
          <c:showVal val="0"/>
          <c:showCatName val="0"/>
          <c:showSerName val="0"/>
          <c:showPercent val="0"/>
          <c:showBubbleSize val="0"/>
        </c:dLbls>
        <c:gapWidth val="150"/>
        <c:overlap val="100"/>
        <c:axId val="370029592"/>
        <c:axId val="370036648"/>
      </c:barChart>
      <c:catAx>
        <c:axId val="370029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6648"/>
        <c:crosses val="autoZero"/>
        <c:auto val="1"/>
        <c:lblAlgn val="ctr"/>
        <c:lblOffset val="100"/>
        <c:noMultiLvlLbl val="0"/>
      </c:catAx>
      <c:valAx>
        <c:axId val="370036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9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Sheet1!$C$240</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Sheet1!$B$241:$B$245</c:f>
              <c:strCache>
                <c:ptCount val="5"/>
                <c:pt idx="0">
                  <c:v>Strongly Agree</c:v>
                </c:pt>
                <c:pt idx="1">
                  <c:v>Agree</c:v>
                </c:pt>
                <c:pt idx="2">
                  <c:v>Neutral</c:v>
                </c:pt>
                <c:pt idx="3">
                  <c:v>Disagree</c:v>
                </c:pt>
                <c:pt idx="4">
                  <c:v>Strongly Disagree</c:v>
                </c:pt>
              </c:strCache>
            </c:strRef>
          </c:cat>
          <c:val>
            <c:numRef>
              <c:f>Sheet1!$C$241:$C$245</c:f>
              <c:numCache>
                <c:formatCode>General</c:formatCode>
                <c:ptCount val="5"/>
                <c:pt idx="0">
                  <c:v>34</c:v>
                </c:pt>
                <c:pt idx="1">
                  <c:v>42</c:v>
                </c:pt>
                <c:pt idx="2">
                  <c:v>14</c:v>
                </c:pt>
                <c:pt idx="3">
                  <c:v>7</c:v>
                </c:pt>
                <c:pt idx="4">
                  <c:v>3</c:v>
                </c:pt>
              </c:numCache>
            </c:numRef>
          </c:val>
          <c:extLst>
            <c:ext xmlns:c16="http://schemas.microsoft.com/office/drawing/2014/chart" uri="{C3380CC4-5D6E-409C-BE32-E72D297353CC}">
              <c16:uniqueId val="{00000000-0670-46C4-BA74-BC373242CC1D}"/>
            </c:ext>
          </c:extLst>
        </c:ser>
        <c:dLbls>
          <c:showLegendKey val="0"/>
          <c:showVal val="0"/>
          <c:showCatName val="0"/>
          <c:showSerName val="0"/>
          <c:showPercent val="0"/>
          <c:showBubbleSize val="0"/>
        </c:dLbls>
        <c:gapWidth val="150"/>
        <c:overlap val="100"/>
        <c:axId val="370024888"/>
        <c:axId val="370031944"/>
      </c:barChart>
      <c:catAx>
        <c:axId val="370024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1944"/>
        <c:crosses val="autoZero"/>
        <c:auto val="1"/>
        <c:lblAlgn val="ctr"/>
        <c:lblOffset val="100"/>
        <c:noMultiLvlLbl val="0"/>
      </c:catAx>
      <c:valAx>
        <c:axId val="370031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4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Sheet1!$C$253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Sheet1!$B$254:$B$258</c:f>
              <c:strCache>
                <c:ptCount val="5"/>
                <c:pt idx="0">
                  <c:v>Strongly Agree</c:v>
                </c:pt>
                <c:pt idx="1">
                  <c:v>Agree</c:v>
                </c:pt>
                <c:pt idx="2">
                  <c:v>Neutral</c:v>
                </c:pt>
                <c:pt idx="3">
                  <c:v>Disagree</c:v>
                </c:pt>
                <c:pt idx="4">
                  <c:v>Strongly Disagree</c:v>
                </c:pt>
              </c:strCache>
            </c:strRef>
          </c:cat>
          <c:val>
            <c:numRef>
              <c:f>Sheet1!$C$254:$C$258</c:f>
              <c:numCache>
                <c:formatCode>General</c:formatCode>
                <c:ptCount val="5"/>
                <c:pt idx="0">
                  <c:v>48</c:v>
                </c:pt>
                <c:pt idx="1">
                  <c:v>36</c:v>
                </c:pt>
                <c:pt idx="2">
                  <c:v>10</c:v>
                </c:pt>
                <c:pt idx="3">
                  <c:v>4</c:v>
                </c:pt>
                <c:pt idx="4">
                  <c:v>2</c:v>
                </c:pt>
              </c:numCache>
            </c:numRef>
          </c:val>
          <c:extLst>
            <c:ext xmlns:c16="http://schemas.microsoft.com/office/drawing/2014/chart" uri="{C3380CC4-5D6E-409C-BE32-E72D297353CC}">
              <c16:uniqueId val="{00000000-92B2-4B05-A5BC-F61D86BD8325}"/>
            </c:ext>
          </c:extLst>
        </c:ser>
        <c:dLbls>
          <c:showLegendKey val="0"/>
          <c:showVal val="0"/>
          <c:showCatName val="0"/>
          <c:showSerName val="0"/>
          <c:showPercent val="0"/>
          <c:showBubbleSize val="0"/>
        </c:dLbls>
        <c:gapWidth val="150"/>
        <c:overlap val="100"/>
        <c:axId val="370029984"/>
        <c:axId val="370032336"/>
      </c:barChart>
      <c:catAx>
        <c:axId val="3700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2336"/>
        <c:crosses val="autoZero"/>
        <c:auto val="1"/>
        <c:lblAlgn val="ctr"/>
        <c:lblOffset val="100"/>
        <c:noMultiLvlLbl val="0"/>
      </c:catAx>
      <c:valAx>
        <c:axId val="370032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9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Sheet1!$F$262</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Sheet1!$E$263:$E$267</c:f>
              <c:strCache>
                <c:ptCount val="5"/>
                <c:pt idx="0">
                  <c:v>Strongly Agree</c:v>
                </c:pt>
                <c:pt idx="1">
                  <c:v>Agree</c:v>
                </c:pt>
                <c:pt idx="2">
                  <c:v>Neutral</c:v>
                </c:pt>
                <c:pt idx="3">
                  <c:v>Disagree</c:v>
                </c:pt>
                <c:pt idx="4">
                  <c:v>Strongly Disagree</c:v>
                </c:pt>
              </c:strCache>
            </c:strRef>
          </c:cat>
          <c:val>
            <c:numRef>
              <c:f>Sheet1!$F$263:$F$267</c:f>
              <c:numCache>
                <c:formatCode>General</c:formatCode>
                <c:ptCount val="5"/>
                <c:pt idx="0">
                  <c:v>40</c:v>
                </c:pt>
                <c:pt idx="1">
                  <c:v>38</c:v>
                </c:pt>
                <c:pt idx="2">
                  <c:v>12</c:v>
                </c:pt>
                <c:pt idx="3">
                  <c:v>7</c:v>
                </c:pt>
                <c:pt idx="4">
                  <c:v>3</c:v>
                </c:pt>
              </c:numCache>
            </c:numRef>
          </c:val>
          <c:extLst>
            <c:ext xmlns:c16="http://schemas.microsoft.com/office/drawing/2014/chart" uri="{C3380CC4-5D6E-409C-BE32-E72D297353CC}">
              <c16:uniqueId val="{00000000-008F-4B68-8451-95F216F7AA4D}"/>
            </c:ext>
          </c:extLst>
        </c:ser>
        <c:dLbls>
          <c:showLegendKey val="0"/>
          <c:showVal val="0"/>
          <c:showCatName val="0"/>
          <c:showSerName val="0"/>
          <c:showPercent val="0"/>
          <c:showBubbleSize val="0"/>
        </c:dLbls>
        <c:gapWidth val="150"/>
        <c:overlap val="100"/>
        <c:axId val="370035080"/>
        <c:axId val="370027240"/>
      </c:barChart>
      <c:catAx>
        <c:axId val="37003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7240"/>
        <c:crosses val="autoZero"/>
        <c:auto val="1"/>
        <c:lblAlgn val="ctr"/>
        <c:lblOffset val="100"/>
        <c:noMultiLvlLbl val="0"/>
      </c:catAx>
      <c:valAx>
        <c:axId val="370027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5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Sheet1!$C$273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Sheet1!$B$274:$B$278</c:f>
              <c:strCache>
                <c:ptCount val="5"/>
                <c:pt idx="0">
                  <c:v>Strongly Agree</c:v>
                </c:pt>
                <c:pt idx="1">
                  <c:v>Agree</c:v>
                </c:pt>
                <c:pt idx="2">
                  <c:v>Neutral</c:v>
                </c:pt>
                <c:pt idx="3">
                  <c:v>Disagree</c:v>
                </c:pt>
                <c:pt idx="4">
                  <c:v>Strongly Disagree</c:v>
                </c:pt>
              </c:strCache>
            </c:strRef>
          </c:cat>
          <c:val>
            <c:numRef>
              <c:f>Sheet1!$C$274:$C$278</c:f>
              <c:numCache>
                <c:formatCode>General</c:formatCode>
                <c:ptCount val="5"/>
                <c:pt idx="0">
                  <c:v>26</c:v>
                </c:pt>
                <c:pt idx="1">
                  <c:v>40</c:v>
                </c:pt>
                <c:pt idx="2">
                  <c:v>20</c:v>
                </c:pt>
                <c:pt idx="3">
                  <c:v>10</c:v>
                </c:pt>
                <c:pt idx="4">
                  <c:v>4</c:v>
                </c:pt>
              </c:numCache>
            </c:numRef>
          </c:val>
          <c:extLst>
            <c:ext xmlns:c16="http://schemas.microsoft.com/office/drawing/2014/chart" uri="{C3380CC4-5D6E-409C-BE32-E72D297353CC}">
              <c16:uniqueId val="{00000000-D1E5-4564-B2FC-1E297DF9D5D4}"/>
            </c:ext>
          </c:extLst>
        </c:ser>
        <c:dLbls>
          <c:showLegendKey val="0"/>
          <c:showVal val="0"/>
          <c:showCatName val="0"/>
          <c:showSerName val="0"/>
          <c:showPercent val="0"/>
          <c:showBubbleSize val="0"/>
        </c:dLbls>
        <c:gapWidth val="150"/>
        <c:overlap val="100"/>
        <c:axId val="370025280"/>
        <c:axId val="370025672"/>
      </c:barChart>
      <c:catAx>
        <c:axId val="37002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5672"/>
        <c:crosses val="autoZero"/>
        <c:auto val="1"/>
        <c:lblAlgn val="ctr"/>
        <c:lblOffset val="100"/>
        <c:noMultiLvlLbl val="0"/>
      </c:catAx>
      <c:valAx>
        <c:axId val="370025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5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Sheet1!$C$286</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Sheet1!$B$287:$B$291</c:f>
              <c:strCache>
                <c:ptCount val="5"/>
                <c:pt idx="0">
                  <c:v>Strongly Agree</c:v>
                </c:pt>
                <c:pt idx="1">
                  <c:v>Agree</c:v>
                </c:pt>
                <c:pt idx="2">
                  <c:v>Neutral</c:v>
                </c:pt>
                <c:pt idx="3">
                  <c:v>Disagree</c:v>
                </c:pt>
                <c:pt idx="4">
                  <c:v>Strongly Disagree</c:v>
                </c:pt>
              </c:strCache>
            </c:strRef>
          </c:cat>
          <c:val>
            <c:numRef>
              <c:f>Sheet1!$C$287:$C$291</c:f>
              <c:numCache>
                <c:formatCode>General</c:formatCode>
                <c:ptCount val="5"/>
                <c:pt idx="0">
                  <c:v>38</c:v>
                </c:pt>
                <c:pt idx="1">
                  <c:v>42</c:v>
                </c:pt>
                <c:pt idx="2">
                  <c:v>12</c:v>
                </c:pt>
                <c:pt idx="3">
                  <c:v>6</c:v>
                </c:pt>
                <c:pt idx="4">
                  <c:v>2</c:v>
                </c:pt>
              </c:numCache>
            </c:numRef>
          </c:val>
          <c:extLst>
            <c:ext xmlns:c16="http://schemas.microsoft.com/office/drawing/2014/chart" uri="{C3380CC4-5D6E-409C-BE32-E72D297353CC}">
              <c16:uniqueId val="{00000000-0311-4700-B644-75A5E36B6D9E}"/>
            </c:ext>
          </c:extLst>
        </c:ser>
        <c:dLbls>
          <c:showLegendKey val="0"/>
          <c:showVal val="0"/>
          <c:showCatName val="0"/>
          <c:showSerName val="0"/>
          <c:showPercent val="0"/>
          <c:showBubbleSize val="0"/>
        </c:dLbls>
        <c:gapWidth val="150"/>
        <c:overlap val="100"/>
        <c:axId val="370026456"/>
        <c:axId val="370026848"/>
      </c:barChart>
      <c:catAx>
        <c:axId val="370026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6848"/>
        <c:crosses val="autoZero"/>
        <c:auto val="1"/>
        <c:lblAlgn val="ctr"/>
        <c:lblOffset val="100"/>
        <c:noMultiLvlLbl val="0"/>
      </c:catAx>
      <c:valAx>
        <c:axId val="37002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6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Sheet1!$D$301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Sheet1!$C$302:$C$306</c:f>
              <c:strCache>
                <c:ptCount val="5"/>
                <c:pt idx="0">
                  <c:v>Strongly Agree</c:v>
                </c:pt>
                <c:pt idx="1">
                  <c:v>Agree</c:v>
                </c:pt>
                <c:pt idx="2">
                  <c:v>Neutral</c:v>
                </c:pt>
                <c:pt idx="3">
                  <c:v>Disagree</c:v>
                </c:pt>
                <c:pt idx="4">
                  <c:v>Strongly Disagree</c:v>
                </c:pt>
              </c:strCache>
            </c:strRef>
          </c:cat>
          <c:val>
            <c:numRef>
              <c:f>Sheet1!$D$302:$D$306</c:f>
              <c:numCache>
                <c:formatCode>General</c:formatCode>
                <c:ptCount val="5"/>
                <c:pt idx="0">
                  <c:v>42</c:v>
                </c:pt>
                <c:pt idx="1">
                  <c:v>38</c:v>
                </c:pt>
                <c:pt idx="2">
                  <c:v>12</c:v>
                </c:pt>
                <c:pt idx="3">
                  <c:v>6</c:v>
                </c:pt>
                <c:pt idx="4">
                  <c:v>2</c:v>
                </c:pt>
              </c:numCache>
            </c:numRef>
          </c:val>
          <c:extLst>
            <c:ext xmlns:c16="http://schemas.microsoft.com/office/drawing/2014/chart" uri="{C3380CC4-5D6E-409C-BE32-E72D297353CC}">
              <c16:uniqueId val="{00000000-1712-416F-9DC9-16F2A5035D25}"/>
            </c:ext>
          </c:extLst>
        </c:ser>
        <c:dLbls>
          <c:showLegendKey val="0"/>
          <c:showVal val="0"/>
          <c:showCatName val="0"/>
          <c:showSerName val="0"/>
          <c:showPercent val="0"/>
          <c:showBubbleSize val="0"/>
        </c:dLbls>
        <c:gapWidth val="150"/>
        <c:overlap val="100"/>
        <c:axId val="370028024"/>
        <c:axId val="370028416"/>
      </c:barChart>
      <c:catAx>
        <c:axId val="370028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8416"/>
        <c:crosses val="autoZero"/>
        <c:auto val="1"/>
        <c:lblAlgn val="ctr"/>
        <c:lblOffset val="100"/>
        <c:noMultiLvlLbl val="0"/>
      </c:catAx>
      <c:valAx>
        <c:axId val="370028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28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Sheet1!$C$313</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Sheet1!$B$314:$B$318</c:f>
              <c:strCache>
                <c:ptCount val="5"/>
                <c:pt idx="0">
                  <c:v>Strongly Agree</c:v>
                </c:pt>
                <c:pt idx="1">
                  <c:v>Agree</c:v>
                </c:pt>
                <c:pt idx="2">
                  <c:v>Neutral</c:v>
                </c:pt>
                <c:pt idx="3">
                  <c:v>Disagree</c:v>
                </c:pt>
                <c:pt idx="4">
                  <c:v>Strongly Disagree</c:v>
                </c:pt>
              </c:strCache>
            </c:strRef>
          </c:cat>
          <c:val>
            <c:numRef>
              <c:f>Sheet1!$C$314:$C$318</c:f>
              <c:numCache>
                <c:formatCode>General</c:formatCode>
                <c:ptCount val="5"/>
                <c:pt idx="0">
                  <c:v>44</c:v>
                </c:pt>
                <c:pt idx="1">
                  <c:v>36</c:v>
                </c:pt>
                <c:pt idx="2">
                  <c:v>12</c:v>
                </c:pt>
                <c:pt idx="3">
                  <c:v>6</c:v>
                </c:pt>
                <c:pt idx="4">
                  <c:v>2</c:v>
                </c:pt>
              </c:numCache>
            </c:numRef>
          </c:val>
          <c:extLst>
            <c:ext xmlns:c16="http://schemas.microsoft.com/office/drawing/2014/chart" uri="{C3380CC4-5D6E-409C-BE32-E72D297353CC}">
              <c16:uniqueId val="{00000000-BA4A-4232-ADFE-95FA8567924B}"/>
            </c:ext>
          </c:extLst>
        </c:ser>
        <c:dLbls>
          <c:showLegendKey val="0"/>
          <c:showVal val="0"/>
          <c:showCatName val="0"/>
          <c:showSerName val="0"/>
          <c:showPercent val="0"/>
          <c:showBubbleSize val="0"/>
        </c:dLbls>
        <c:gapWidth val="150"/>
        <c:overlap val="100"/>
        <c:axId val="370039784"/>
        <c:axId val="370038608"/>
      </c:barChart>
      <c:catAx>
        <c:axId val="370039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8608"/>
        <c:crosses val="autoZero"/>
        <c:auto val="1"/>
        <c:lblAlgn val="ctr"/>
        <c:lblOffset val="100"/>
        <c:noMultiLvlLbl val="0"/>
      </c:catAx>
      <c:valAx>
        <c:axId val="370038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9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Sheet1!$C$324</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Sheet1!$B$325:$B$329</c:f>
              <c:strCache>
                <c:ptCount val="5"/>
                <c:pt idx="0">
                  <c:v>Strongly Agree</c:v>
                </c:pt>
                <c:pt idx="1">
                  <c:v>Agree</c:v>
                </c:pt>
                <c:pt idx="2">
                  <c:v>Neutral</c:v>
                </c:pt>
                <c:pt idx="3">
                  <c:v>Disagree</c:v>
                </c:pt>
                <c:pt idx="4">
                  <c:v>Strongly Disagree</c:v>
                </c:pt>
              </c:strCache>
            </c:strRef>
          </c:cat>
          <c:val>
            <c:numRef>
              <c:f>Sheet1!$C$325:$C$329</c:f>
              <c:numCache>
                <c:formatCode>General</c:formatCode>
                <c:ptCount val="5"/>
                <c:pt idx="0">
                  <c:v>36</c:v>
                </c:pt>
                <c:pt idx="1">
                  <c:v>40</c:v>
                </c:pt>
                <c:pt idx="2">
                  <c:v>14</c:v>
                </c:pt>
                <c:pt idx="3">
                  <c:v>7</c:v>
                </c:pt>
                <c:pt idx="4">
                  <c:v>3</c:v>
                </c:pt>
              </c:numCache>
            </c:numRef>
          </c:val>
          <c:extLst>
            <c:ext xmlns:c16="http://schemas.microsoft.com/office/drawing/2014/chart" uri="{C3380CC4-5D6E-409C-BE32-E72D297353CC}">
              <c16:uniqueId val="{00000000-E56B-445C-B05B-AFA176050688}"/>
            </c:ext>
          </c:extLst>
        </c:ser>
        <c:dLbls>
          <c:showLegendKey val="0"/>
          <c:showVal val="0"/>
          <c:showCatName val="0"/>
          <c:showSerName val="0"/>
          <c:showPercent val="0"/>
          <c:showBubbleSize val="0"/>
        </c:dLbls>
        <c:gapWidth val="150"/>
        <c:overlap val="100"/>
        <c:axId val="370037824"/>
        <c:axId val="370038216"/>
      </c:barChart>
      <c:catAx>
        <c:axId val="370037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8216"/>
        <c:crosses val="autoZero"/>
        <c:auto val="1"/>
        <c:lblAlgn val="ctr"/>
        <c:lblOffset val="100"/>
        <c:noMultiLvlLbl val="0"/>
      </c:catAx>
      <c:valAx>
        <c:axId val="370038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7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Sheet1!$D$337</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Sheet1!$C$338:$C$340</c:f>
              <c:strCache>
                <c:ptCount val="3"/>
                <c:pt idx="0">
                  <c:v>Yes</c:v>
                </c:pt>
                <c:pt idx="1">
                  <c:v>No</c:v>
                </c:pt>
                <c:pt idx="2">
                  <c:v>Can’t Say</c:v>
                </c:pt>
              </c:strCache>
            </c:strRef>
          </c:cat>
          <c:val>
            <c:numRef>
              <c:f>Sheet1!$D$338:$D$340</c:f>
              <c:numCache>
                <c:formatCode>General</c:formatCode>
                <c:ptCount val="3"/>
                <c:pt idx="0">
                  <c:v>64</c:v>
                </c:pt>
                <c:pt idx="1">
                  <c:v>12</c:v>
                </c:pt>
                <c:pt idx="2">
                  <c:v>24</c:v>
                </c:pt>
              </c:numCache>
            </c:numRef>
          </c:val>
          <c:extLst>
            <c:ext xmlns:c16="http://schemas.microsoft.com/office/drawing/2014/chart" uri="{C3380CC4-5D6E-409C-BE32-E72D297353CC}">
              <c16:uniqueId val="{00000000-AEE8-4EF0-99C2-9FC5175E5101}"/>
            </c:ext>
          </c:extLst>
        </c:ser>
        <c:dLbls>
          <c:showLegendKey val="0"/>
          <c:showVal val="0"/>
          <c:showCatName val="0"/>
          <c:showSerName val="0"/>
          <c:showPercent val="0"/>
          <c:showBubbleSize val="0"/>
        </c:dLbls>
        <c:gapWidth val="150"/>
        <c:overlap val="100"/>
        <c:axId val="370039392"/>
        <c:axId val="370040176"/>
      </c:barChart>
      <c:catAx>
        <c:axId val="370039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40176"/>
        <c:crosses val="autoZero"/>
        <c:auto val="1"/>
        <c:lblAlgn val="ctr"/>
        <c:lblOffset val="100"/>
        <c:noMultiLvlLbl val="0"/>
      </c:catAx>
      <c:valAx>
        <c:axId val="37004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039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E7F74-CD40-4DA7-8444-687D1065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118</Pages>
  <Words>18540</Words>
  <Characters>105680</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p</dc:creator>
  <cp:keywords/>
  <dc:description/>
  <cp:lastModifiedBy>DPS3</cp:lastModifiedBy>
  <cp:revision>12</cp:revision>
  <cp:lastPrinted>2025-05-31T18:43:00Z</cp:lastPrinted>
  <dcterms:created xsi:type="dcterms:W3CDTF">2026-07-04T06:57:00Z</dcterms:created>
  <dcterms:modified xsi:type="dcterms:W3CDTF">2026-09-08T05:21:00Z</dcterms:modified>
</cp:coreProperties>
</file>