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5FC" w:rsidRDefault="003E65FC" w:rsidP="00C74B80">
      <w:pPr>
        <w:spacing w:line="360" w:lineRule="auto"/>
        <w:jc w:val="both"/>
        <w:rPr>
          <w:rFonts w:ascii="Times New Roman" w:hAnsi="Times New Roman" w:cs="Times New Roman"/>
          <w:b/>
          <w:sz w:val="28"/>
          <w:szCs w:val="24"/>
        </w:rPr>
      </w:pPr>
      <w:r w:rsidRPr="003E65FC">
        <w:rPr>
          <w:rFonts w:ascii="Times New Roman" w:hAnsi="Times New Roman" w:cs="Times New Roman"/>
          <w:b/>
          <w:sz w:val="28"/>
          <w:szCs w:val="24"/>
        </w:rPr>
        <w:t>1.1 INTRODUCTION</w:t>
      </w:r>
    </w:p>
    <w:p w:rsidR="00124FFE" w:rsidRDefault="00124FFE" w:rsidP="00C74B8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adoption of </w:t>
      </w:r>
      <w:r w:rsidR="00FA40D5">
        <w:rPr>
          <w:rFonts w:ascii="Times New Roman" w:hAnsi="Times New Roman" w:cs="Times New Roman"/>
          <w:sz w:val="24"/>
          <w:szCs w:val="24"/>
        </w:rPr>
        <w:t>E</w:t>
      </w:r>
      <w:r>
        <w:rPr>
          <w:rFonts w:ascii="Times New Roman" w:hAnsi="Times New Roman" w:cs="Times New Roman"/>
          <w:sz w:val="24"/>
          <w:szCs w:val="24"/>
        </w:rPr>
        <w:t xml:space="preserve">lectric </w:t>
      </w:r>
      <w:r w:rsidR="00FA40D5">
        <w:rPr>
          <w:rFonts w:ascii="Times New Roman" w:hAnsi="Times New Roman" w:cs="Times New Roman"/>
          <w:sz w:val="24"/>
          <w:szCs w:val="24"/>
        </w:rPr>
        <w:t>V</w:t>
      </w:r>
      <w:r>
        <w:rPr>
          <w:rFonts w:ascii="Times New Roman" w:hAnsi="Times New Roman" w:cs="Times New Roman"/>
          <w:sz w:val="24"/>
          <w:szCs w:val="24"/>
        </w:rPr>
        <w:t xml:space="preserve">ehicles (EVs) represents a pivotal shift in transportation, offering environmental benefits and reducing dependence on fossil fuels. However, the widespread adoption of EVs hinges on the availability and accessibility of adequate infrastructure. This project examines the crucial role that infrastructure plays in facilitating the adoption of electric vehicles. It delves into various aspects of infrastructure, including charging stations, grid capacity, and supportive policies. By </w:t>
      </w:r>
      <w:r w:rsidR="002B4FD0">
        <w:rPr>
          <w:rFonts w:ascii="Times New Roman" w:hAnsi="Times New Roman" w:cs="Times New Roman"/>
          <w:sz w:val="24"/>
          <w:szCs w:val="24"/>
        </w:rPr>
        <w:t>analysing</w:t>
      </w:r>
      <w:r>
        <w:rPr>
          <w:rFonts w:ascii="Times New Roman" w:hAnsi="Times New Roman" w:cs="Times New Roman"/>
          <w:sz w:val="24"/>
          <w:szCs w:val="24"/>
        </w:rPr>
        <w:t xml:space="preserve"> case studies, policy frameworks, and technological advancements, this study aims to provide insights into the relationship between infrastructure development and EV adoption rates. With the increasing focus on sustainability and reducing carbon emissions, electric vehicles have gained a lot of attention. But for electric vehicles to become more widely adopted, having the right infrastructure is key. That means having enough charging stations, and a strong grid capacity to support the increased demand.</w:t>
      </w:r>
    </w:p>
    <w:p w:rsidR="00124FFE" w:rsidRDefault="00124FFE" w:rsidP="00C74B8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As the world strives to combat climate change and reduce greenhouse gas emissions, the electrification of transportation emerges as a critical strategy. Electric vehicles offer a promising solution to mitigate the environmental impacts of traditional combustion engine vehicles. However, the successful integration of EVs into mainstream transportation systems relies heavily on the availability and effectiveness of supporting infrastructure. From urban centers to rural areas, the deployment of charging stations and the enhancement of grid capacity are essential to address range anxiety and ensure seamless charging experiences for EV owners. Moreover, the development of smart charging technologies and innovative solutions for public and private charging infrastructure can further enhance the appeal and convenience of electric vehicles.</w:t>
      </w:r>
    </w:p>
    <w:p w:rsidR="005D04CF" w:rsidRDefault="00124FFE" w:rsidP="00C74B8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Infrastructure for charging electric vehicles is going to be more and more necessary as their use grows. To stay up with the rising EV industry, stakeholders must prioritize investing in the expansion and modernization of the charging network. The usage of electric vehicles can result in a further reduction in carbon emissions by integrating renewable energy sources into the infrastructure for charging them. In addition, technological developments like vehicle-to-grid integration provide chances to optimize the advantages of EV infrastructure by permitting two-way energy exchange between automobiles and the grid. In order to overcome regulatory issues, expedite the </w:t>
      </w:r>
      <w:r>
        <w:rPr>
          <w:rFonts w:ascii="Times New Roman" w:hAnsi="Times New Roman" w:cs="Times New Roman"/>
          <w:sz w:val="24"/>
          <w:szCs w:val="24"/>
        </w:rPr>
        <w:lastRenderedPageBreak/>
        <w:t>permission process, and guarantee equal access to charging infrastructure for all populations, cooperation between governments, companies, and communities is vital. Additionally, it explores challenges and opportunities for expanding EV infrastructure and proposes recommendations for policymakers, stakeholders, and industry players to accelerate the transition to electric mobility. Through a comprehensive examination of infrastructure's impact on EV adoption, this project contributes to the understanding of sustainable transportation and the transition towards a greener future.</w:t>
      </w:r>
    </w:p>
    <w:p w:rsidR="00C74B80" w:rsidRDefault="00C74B80" w:rsidP="00C74B80">
      <w:pPr>
        <w:spacing w:after="0" w:line="360" w:lineRule="auto"/>
        <w:jc w:val="both"/>
        <w:rPr>
          <w:rFonts w:ascii="Times New Roman" w:hAnsi="Times New Roman" w:cs="Times New Roman"/>
          <w:b/>
          <w:sz w:val="28"/>
          <w:szCs w:val="24"/>
        </w:rPr>
      </w:pPr>
      <w:r w:rsidRPr="00C74B80">
        <w:rPr>
          <w:rFonts w:ascii="Times New Roman" w:hAnsi="Times New Roman" w:cs="Times New Roman"/>
          <w:b/>
          <w:sz w:val="28"/>
          <w:szCs w:val="24"/>
        </w:rPr>
        <w:t>1.</w:t>
      </w:r>
      <w:r>
        <w:rPr>
          <w:rFonts w:ascii="Times New Roman" w:hAnsi="Times New Roman" w:cs="Times New Roman"/>
          <w:b/>
          <w:sz w:val="28"/>
          <w:szCs w:val="24"/>
        </w:rPr>
        <w:t>2</w:t>
      </w:r>
      <w:r w:rsidRPr="00C74B80">
        <w:rPr>
          <w:rFonts w:ascii="Times New Roman" w:hAnsi="Times New Roman" w:cs="Times New Roman"/>
          <w:sz w:val="28"/>
          <w:szCs w:val="24"/>
        </w:rPr>
        <w:t xml:space="preserve"> </w:t>
      </w:r>
      <w:r>
        <w:rPr>
          <w:rFonts w:ascii="Times New Roman" w:hAnsi="Times New Roman" w:cs="Times New Roman"/>
          <w:b/>
          <w:sz w:val="28"/>
          <w:szCs w:val="24"/>
        </w:rPr>
        <w:t>SIGNIFICANCE OF THE STUDY</w:t>
      </w:r>
    </w:p>
    <w:p w:rsidR="00C74B80" w:rsidRDefault="00C74B80" w:rsidP="00C74B80">
      <w:pPr>
        <w:spacing w:after="100" w:afterAutospacing="1" w:line="360" w:lineRule="auto"/>
        <w:jc w:val="both"/>
        <w:rPr>
          <w:rFonts w:ascii="Times New Roman" w:eastAsia="Times New Roman" w:hAnsi="Times New Roman" w:cs="Times New Roman"/>
          <w:sz w:val="24"/>
          <w:szCs w:val="24"/>
          <w:lang w:eastAsia="en-IN"/>
        </w:rPr>
      </w:pPr>
      <w:r w:rsidRPr="00C83348">
        <w:rPr>
          <w:rFonts w:ascii="Times New Roman" w:eastAsia="Times New Roman" w:hAnsi="Times New Roman" w:cs="Times New Roman"/>
          <w:sz w:val="24"/>
          <w:szCs w:val="24"/>
          <w:lang w:eastAsia="en-IN"/>
        </w:rPr>
        <w:t>The significance of this study lies in its potential to provide valuable insights into the critical role of infrastructure in facilitating the adoption of Electric Vehicles (EVs). By identifying specific barriers related to charging networks, maintenance services, and urban planning, the study can inform policymakers and industry stakeholders about the necessary improvements required to encourage EV uptake. Furthermore, it highlights the importance of a comprehensive approach to infrastructure development that considers consumer needs and behaviors, ultimately contributing to environmental sustainability and reducing carbon emissions. As countries strive to meet climate goals and transition to cleaner energy sources, this research can serve as a roadmap for strategic investments and initiatives aimed at enhancing the viability of electric vehicles in various regions.</w:t>
      </w:r>
    </w:p>
    <w:p w:rsidR="00304B5A" w:rsidRPr="00304B5A" w:rsidRDefault="00C74B80" w:rsidP="00304B5A">
      <w:pPr>
        <w:spacing w:after="100" w:afterAutospacing="1" w:line="360" w:lineRule="auto"/>
        <w:jc w:val="both"/>
        <w:rPr>
          <w:rFonts w:ascii="Times New Roman" w:eastAsia="Times New Roman" w:hAnsi="Times New Roman" w:cs="Times New Roman"/>
          <w:b/>
          <w:sz w:val="28"/>
          <w:szCs w:val="24"/>
          <w:lang w:eastAsia="en-IN"/>
        </w:rPr>
      </w:pPr>
      <w:r w:rsidRPr="00C74B80">
        <w:rPr>
          <w:rFonts w:ascii="Times New Roman" w:eastAsia="Times New Roman" w:hAnsi="Times New Roman" w:cs="Times New Roman"/>
          <w:b/>
          <w:sz w:val="28"/>
          <w:szCs w:val="24"/>
          <w:lang w:eastAsia="en-IN"/>
        </w:rPr>
        <w:t xml:space="preserve">1.3 </w:t>
      </w:r>
      <w:r w:rsidR="00304B5A" w:rsidRPr="00304B5A">
        <w:rPr>
          <w:rFonts w:ascii="Times New Roman" w:eastAsia="Times New Roman" w:hAnsi="Times New Roman" w:cs="Times New Roman"/>
          <w:b/>
          <w:sz w:val="28"/>
          <w:szCs w:val="24"/>
          <w:lang w:eastAsia="en-IN"/>
        </w:rPr>
        <w:t>STATEMENT OF THE PROBLEM</w:t>
      </w:r>
    </w:p>
    <w:p w:rsidR="00304B5A" w:rsidRDefault="00304B5A" w:rsidP="00304B5A">
      <w:pPr>
        <w:spacing w:after="100" w:afterAutospacing="1" w:line="360" w:lineRule="auto"/>
        <w:jc w:val="both"/>
        <w:rPr>
          <w:rFonts w:ascii="Times New Roman" w:hAnsi="Times New Roman" w:cs="Times New Roman"/>
          <w:b/>
          <w:sz w:val="28"/>
          <w:szCs w:val="24"/>
        </w:rPr>
      </w:pPr>
      <w:r w:rsidRPr="00304B5A">
        <w:rPr>
          <w:rFonts w:ascii="Times New Roman" w:eastAsia="Times New Roman" w:hAnsi="Times New Roman" w:cs="Times New Roman"/>
          <w:sz w:val="24"/>
          <w:szCs w:val="24"/>
          <w:lang w:eastAsia="en-IN"/>
        </w:rPr>
        <w:t>The adoption of Electric Vehicles (EVs) is significantly influenced by the availability and quality of supporting infrastructure, yet this relationship remains underexplored. As governments and manufacturers push for a transition to cleaner transportation, inadequate charging networks, limited access to maintenance facilities, and insufficient urban planning can hinder consumer acceptance and widespread adoption of EVs. This study aims to investigate the extent to which infrastructure deficiencies—such as charging stations, grid reliability, and public awareness—affect consumer decisions to switch from traditional vehicles to electric alternatives. Understanding these dynamics is crucial for policymakers and stakeholders seeking to enhance EV adoption and promote sustainable transportation solutions.</w:t>
      </w:r>
      <w:r w:rsidRPr="00304B5A">
        <w:rPr>
          <w:rFonts w:ascii="Times New Roman" w:eastAsia="Times New Roman" w:hAnsi="Times New Roman" w:cs="Times New Roman"/>
          <w:b/>
          <w:sz w:val="24"/>
          <w:szCs w:val="24"/>
          <w:lang w:eastAsia="en-IN"/>
        </w:rPr>
        <w:t xml:space="preserve"> </w:t>
      </w:r>
    </w:p>
    <w:p w:rsidR="00C74B80" w:rsidRPr="00C74B80" w:rsidRDefault="00C74B80" w:rsidP="00304B5A">
      <w:pPr>
        <w:spacing w:after="100" w:afterAutospacing="1" w:line="360" w:lineRule="auto"/>
        <w:jc w:val="both"/>
        <w:rPr>
          <w:rFonts w:ascii="Times New Roman" w:hAnsi="Times New Roman" w:cs="Times New Roman"/>
          <w:b/>
          <w:sz w:val="28"/>
          <w:szCs w:val="24"/>
        </w:rPr>
      </w:pPr>
      <w:r w:rsidRPr="00C74B80">
        <w:rPr>
          <w:rFonts w:ascii="Times New Roman" w:hAnsi="Times New Roman" w:cs="Times New Roman"/>
          <w:b/>
          <w:sz w:val="28"/>
          <w:szCs w:val="24"/>
        </w:rPr>
        <w:lastRenderedPageBreak/>
        <w:t>1.4 OBJECTIVES OF THE STUDY</w:t>
      </w:r>
    </w:p>
    <w:p w:rsidR="00C74B80" w:rsidRPr="00322F62" w:rsidRDefault="00C74B80" w:rsidP="00C74B8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322F62">
        <w:rPr>
          <w:rFonts w:ascii="Times New Roman" w:hAnsi="Times New Roman" w:cs="Times New Roman"/>
          <w:sz w:val="24"/>
          <w:szCs w:val="24"/>
        </w:rPr>
        <w:t>To assess the current state of infrastructure for electric vehicles, including charging</w:t>
      </w:r>
      <w:r>
        <w:rPr>
          <w:rFonts w:ascii="Times New Roman" w:hAnsi="Times New Roman" w:cs="Times New Roman"/>
          <w:sz w:val="24"/>
          <w:szCs w:val="24"/>
        </w:rPr>
        <w:t xml:space="preserve"> </w:t>
      </w:r>
      <w:r w:rsidRPr="00322F62">
        <w:rPr>
          <w:rFonts w:ascii="Times New Roman" w:hAnsi="Times New Roman" w:cs="Times New Roman"/>
          <w:sz w:val="24"/>
          <w:szCs w:val="24"/>
        </w:rPr>
        <w:t>stations and battery swapping stations.</w:t>
      </w:r>
    </w:p>
    <w:p w:rsidR="00C74B80" w:rsidRDefault="00C74B80" w:rsidP="00C74B8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322F62">
        <w:rPr>
          <w:rFonts w:ascii="Times New Roman" w:hAnsi="Times New Roman" w:cs="Times New Roman"/>
          <w:sz w:val="24"/>
          <w:szCs w:val="24"/>
        </w:rPr>
        <w:t>To explore the relationship between infrastructure and electric vehicle adoption rates.</w:t>
      </w:r>
    </w:p>
    <w:p w:rsidR="00C74B80" w:rsidRDefault="00C74B80" w:rsidP="00C74B8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322F62">
        <w:rPr>
          <w:rFonts w:ascii="Times New Roman" w:hAnsi="Times New Roman" w:cs="Times New Roman"/>
          <w:sz w:val="24"/>
          <w:szCs w:val="24"/>
        </w:rPr>
        <w:t>To analyse data and trends to determine how the presence of adequate infrastructure</w:t>
      </w:r>
      <w:r>
        <w:rPr>
          <w:rFonts w:ascii="Times New Roman" w:hAnsi="Times New Roman" w:cs="Times New Roman"/>
          <w:sz w:val="24"/>
          <w:szCs w:val="24"/>
        </w:rPr>
        <w:t xml:space="preserve"> </w:t>
      </w:r>
      <w:r w:rsidRPr="00322F62">
        <w:rPr>
          <w:rFonts w:ascii="Times New Roman" w:hAnsi="Times New Roman" w:cs="Times New Roman"/>
          <w:sz w:val="24"/>
          <w:szCs w:val="24"/>
        </w:rPr>
        <w:t>influences the decision-making process of potential electric vehicle owners.</w:t>
      </w:r>
    </w:p>
    <w:p w:rsidR="00C74B80" w:rsidRDefault="00C74B80" w:rsidP="00C74B8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322F62">
        <w:rPr>
          <w:rFonts w:ascii="Times New Roman" w:hAnsi="Times New Roman" w:cs="Times New Roman"/>
          <w:sz w:val="24"/>
          <w:szCs w:val="24"/>
        </w:rPr>
        <w:t>To understand the key factors that drive or hinder the adoption of electric vehicles and</w:t>
      </w:r>
      <w:r>
        <w:rPr>
          <w:rFonts w:ascii="Times New Roman" w:hAnsi="Times New Roman" w:cs="Times New Roman"/>
          <w:sz w:val="24"/>
          <w:szCs w:val="24"/>
        </w:rPr>
        <w:t xml:space="preserve"> </w:t>
      </w:r>
      <w:r w:rsidRPr="00322F62">
        <w:rPr>
          <w:rFonts w:ascii="Times New Roman" w:hAnsi="Times New Roman" w:cs="Times New Roman"/>
          <w:sz w:val="24"/>
          <w:szCs w:val="24"/>
        </w:rPr>
        <w:t>inform strategies to promote wider adoption.</w:t>
      </w:r>
    </w:p>
    <w:p w:rsidR="00C74B80" w:rsidRDefault="00C74B80" w:rsidP="00C74B80">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1.5 SCOPE OF THE STUDY</w:t>
      </w:r>
    </w:p>
    <w:p w:rsidR="00C74B80" w:rsidRDefault="00C74B80" w:rsidP="00C74B80">
      <w:pPr>
        <w:pStyle w:val="NormalWeb"/>
        <w:spacing w:before="0" w:beforeAutospacing="0" w:after="0" w:afterAutospacing="0" w:line="360" w:lineRule="auto"/>
        <w:jc w:val="both"/>
      </w:pPr>
      <w:r>
        <w:t>The scope of this study encompasses an examination of the various dimensions of infrastructure that influence the adoption of Electric Vehicles (EVs). This includes an analysis of charging infrastructure, such as the availability, accessibility, and distribution of charging stations in urban and rural areas. Additionally, the study will explore the role of maintenance facilities and service networks that support EVs, as well as the integration of smart grid technologies that enhance the reliability of electricity supply. The research will consider the regulatory frameworks and policies that shape infrastructure development, as well as public awareness and perception of EVs. By focusing on these interconnected aspects, the study aims to provide a comprehensive understanding of how infrastructure affects consumer behavior and decision-making regarding EV adoption. The findings will be relevant to various stakeholders, including government agencies, automotive manufacturers, urban planners, and environmental organizations, aiding them in formulating effective strategies to promote sustainable transportation.</w:t>
      </w:r>
    </w:p>
    <w:p w:rsidR="00C74B80" w:rsidRDefault="00C74B80" w:rsidP="00C74B80">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1.6 </w:t>
      </w:r>
      <w:r w:rsidRPr="003E65FC">
        <w:rPr>
          <w:rFonts w:ascii="Times New Roman" w:hAnsi="Times New Roman" w:cs="Times New Roman"/>
          <w:b/>
          <w:sz w:val="28"/>
          <w:szCs w:val="24"/>
        </w:rPr>
        <w:t>RESEARCH METHODOLOGY</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RESEARCH DESIGN</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Type of Study</w:t>
      </w:r>
    </w:p>
    <w:p w:rsidR="00C74B80" w:rsidRPr="00B06791" w:rsidRDefault="00C74B80" w:rsidP="00C74B80">
      <w:pPr>
        <w:autoSpaceDE w:val="0"/>
        <w:autoSpaceDN w:val="0"/>
        <w:adjustRightInd w:val="0"/>
        <w:spacing w:after="0" w:line="360" w:lineRule="auto"/>
        <w:jc w:val="both"/>
        <w:rPr>
          <w:rFonts w:ascii="Times New Roman" w:hAnsi="Times New Roman" w:cs="Times New Roman"/>
          <w:sz w:val="24"/>
          <w:szCs w:val="24"/>
        </w:rPr>
      </w:pPr>
      <w:r w:rsidRPr="00B06791">
        <w:rPr>
          <w:rFonts w:ascii="Times New Roman" w:hAnsi="Times New Roman" w:cs="Times New Roman"/>
          <w:sz w:val="24"/>
          <w:szCs w:val="24"/>
        </w:rPr>
        <w:t>A research design is purely and simply the framework or plan f</w:t>
      </w:r>
      <w:r>
        <w:rPr>
          <w:rFonts w:ascii="Times New Roman" w:hAnsi="Times New Roman" w:cs="Times New Roman"/>
          <w:sz w:val="24"/>
          <w:szCs w:val="24"/>
        </w:rPr>
        <w:t xml:space="preserve">or an analysis of data. It is a </w:t>
      </w:r>
      <w:r w:rsidRPr="00B06791">
        <w:rPr>
          <w:rFonts w:ascii="Times New Roman" w:hAnsi="Times New Roman" w:cs="Times New Roman"/>
          <w:sz w:val="24"/>
          <w:szCs w:val="24"/>
        </w:rPr>
        <w:t xml:space="preserve">blue print that is followed in completing a study. Descriptive </w:t>
      </w:r>
      <w:r>
        <w:rPr>
          <w:rFonts w:ascii="Times New Roman" w:hAnsi="Times New Roman" w:cs="Times New Roman"/>
          <w:sz w:val="24"/>
          <w:szCs w:val="24"/>
        </w:rPr>
        <w:t xml:space="preserve">study was used in the </w:t>
      </w:r>
      <w:r>
        <w:rPr>
          <w:rFonts w:ascii="Times New Roman" w:hAnsi="Times New Roman" w:cs="Times New Roman"/>
          <w:sz w:val="24"/>
          <w:szCs w:val="24"/>
        </w:rPr>
        <w:lastRenderedPageBreak/>
        <w:t xml:space="preserve">research </w:t>
      </w:r>
      <w:r w:rsidRPr="00B06791">
        <w:rPr>
          <w:rFonts w:ascii="Times New Roman" w:hAnsi="Times New Roman" w:cs="Times New Roman"/>
          <w:sz w:val="24"/>
          <w:szCs w:val="24"/>
        </w:rPr>
        <w:t>because the data is collected from the customers based on th</w:t>
      </w:r>
      <w:r>
        <w:rPr>
          <w:rFonts w:ascii="Times New Roman" w:hAnsi="Times New Roman" w:cs="Times New Roman"/>
          <w:sz w:val="24"/>
          <w:szCs w:val="24"/>
        </w:rPr>
        <w:t xml:space="preserve">e need and inferences were made </w:t>
      </w:r>
      <w:r w:rsidRPr="00B06791">
        <w:rPr>
          <w:rFonts w:ascii="Times New Roman" w:hAnsi="Times New Roman" w:cs="Times New Roman"/>
          <w:sz w:val="24"/>
          <w:szCs w:val="24"/>
        </w:rPr>
        <w:t>based on the collected data.</w:t>
      </w:r>
    </w:p>
    <w:p w:rsidR="00C74B80" w:rsidRPr="00B06791" w:rsidRDefault="00C74B80" w:rsidP="00C74B80">
      <w:pPr>
        <w:autoSpaceDE w:val="0"/>
        <w:autoSpaceDN w:val="0"/>
        <w:adjustRightInd w:val="0"/>
        <w:spacing w:after="0" w:line="360" w:lineRule="auto"/>
        <w:jc w:val="both"/>
        <w:rPr>
          <w:rFonts w:ascii="Times New Roman" w:hAnsi="Times New Roman" w:cs="Times New Roman"/>
          <w:sz w:val="24"/>
          <w:szCs w:val="24"/>
        </w:rPr>
      </w:pPr>
      <w:r w:rsidRPr="00B06791">
        <w:rPr>
          <w:rFonts w:ascii="Times New Roman" w:hAnsi="Times New Roman" w:cs="Times New Roman"/>
          <w:sz w:val="24"/>
          <w:szCs w:val="24"/>
        </w:rPr>
        <w:t>The population considered for this study is the bank customers of Kottayam town. Convenience</w:t>
      </w:r>
      <w:r>
        <w:rPr>
          <w:rFonts w:ascii="Times New Roman" w:hAnsi="Times New Roman" w:cs="Times New Roman"/>
          <w:sz w:val="24"/>
          <w:szCs w:val="24"/>
        </w:rPr>
        <w:t xml:space="preserve"> </w:t>
      </w:r>
      <w:r w:rsidRPr="00B06791">
        <w:rPr>
          <w:rFonts w:ascii="Times New Roman" w:hAnsi="Times New Roman" w:cs="Times New Roman"/>
          <w:sz w:val="24"/>
          <w:szCs w:val="24"/>
        </w:rPr>
        <w:t>sampling method is used for the sampling technique and 100 samples were collected from the</w:t>
      </w:r>
      <w:r>
        <w:rPr>
          <w:rFonts w:ascii="Times New Roman" w:hAnsi="Times New Roman" w:cs="Times New Roman"/>
          <w:sz w:val="24"/>
          <w:szCs w:val="24"/>
        </w:rPr>
        <w:t xml:space="preserve"> </w:t>
      </w:r>
      <w:r w:rsidRPr="00B06791">
        <w:rPr>
          <w:rFonts w:ascii="Times New Roman" w:hAnsi="Times New Roman" w:cs="Times New Roman"/>
          <w:sz w:val="24"/>
          <w:szCs w:val="24"/>
        </w:rPr>
        <w:t>customers of the bank. The variables studied were the customer satisfaction, usage, awareness,</w:t>
      </w:r>
      <w:r>
        <w:rPr>
          <w:rFonts w:ascii="Times New Roman" w:hAnsi="Times New Roman" w:cs="Times New Roman"/>
          <w:sz w:val="24"/>
          <w:szCs w:val="24"/>
        </w:rPr>
        <w:t xml:space="preserve"> </w:t>
      </w:r>
      <w:r w:rsidRPr="00B06791">
        <w:rPr>
          <w:rFonts w:ascii="Times New Roman" w:hAnsi="Times New Roman" w:cs="Times New Roman"/>
          <w:sz w:val="24"/>
          <w:szCs w:val="24"/>
        </w:rPr>
        <w:t>privacy and security issues.</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SAMPLING</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Sampling Design</w:t>
      </w:r>
    </w:p>
    <w:p w:rsidR="00C74B80" w:rsidRPr="00B06791" w:rsidRDefault="00C74B80" w:rsidP="00C74B80">
      <w:pPr>
        <w:autoSpaceDE w:val="0"/>
        <w:autoSpaceDN w:val="0"/>
        <w:adjustRightInd w:val="0"/>
        <w:spacing w:after="0" w:line="360" w:lineRule="auto"/>
        <w:jc w:val="both"/>
        <w:rPr>
          <w:rFonts w:ascii="Times New Roman" w:hAnsi="Times New Roman" w:cs="Times New Roman"/>
          <w:sz w:val="24"/>
          <w:szCs w:val="24"/>
        </w:rPr>
      </w:pPr>
      <w:r w:rsidRPr="00B06791">
        <w:rPr>
          <w:rFonts w:ascii="Times New Roman" w:hAnsi="Times New Roman" w:cs="Times New Roman"/>
          <w:sz w:val="24"/>
          <w:szCs w:val="24"/>
        </w:rPr>
        <w:t>A sample size of 100 respondents was selected on the basis of convenience sampling.</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Sampling method</w:t>
      </w:r>
    </w:p>
    <w:p w:rsidR="00C74B80" w:rsidRPr="00B06791" w:rsidRDefault="00C74B80" w:rsidP="00C74B80">
      <w:pPr>
        <w:autoSpaceDE w:val="0"/>
        <w:autoSpaceDN w:val="0"/>
        <w:adjustRightInd w:val="0"/>
        <w:spacing w:after="0" w:line="360" w:lineRule="auto"/>
        <w:jc w:val="both"/>
        <w:rPr>
          <w:rFonts w:ascii="Times New Roman" w:hAnsi="Times New Roman" w:cs="Times New Roman"/>
          <w:sz w:val="24"/>
          <w:szCs w:val="24"/>
        </w:rPr>
      </w:pPr>
      <w:r w:rsidRPr="00B06791">
        <w:rPr>
          <w:rFonts w:ascii="Times New Roman" w:hAnsi="Times New Roman" w:cs="Times New Roman"/>
          <w:sz w:val="24"/>
          <w:szCs w:val="24"/>
        </w:rPr>
        <w:t>A convenient sample of 100 respondents was scheduled for data analyses.</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DATA COLLECTION</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Primary data:</w:t>
      </w:r>
    </w:p>
    <w:p w:rsidR="00C74B80" w:rsidRPr="00B06791" w:rsidRDefault="00C74B80" w:rsidP="00C74B80">
      <w:pPr>
        <w:autoSpaceDE w:val="0"/>
        <w:autoSpaceDN w:val="0"/>
        <w:adjustRightInd w:val="0"/>
        <w:spacing w:after="0" w:line="360" w:lineRule="auto"/>
        <w:jc w:val="both"/>
        <w:rPr>
          <w:rFonts w:ascii="Times New Roman" w:hAnsi="Times New Roman" w:cs="Times New Roman"/>
          <w:sz w:val="24"/>
          <w:szCs w:val="24"/>
        </w:rPr>
      </w:pPr>
      <w:r w:rsidRPr="00B06791">
        <w:rPr>
          <w:rFonts w:ascii="Times New Roman" w:hAnsi="Times New Roman" w:cs="Times New Roman"/>
          <w:sz w:val="24"/>
          <w:szCs w:val="24"/>
        </w:rPr>
        <w:t>Primary data collection method is used for collecting the data and a standard five-point scales</w:t>
      </w:r>
      <w:r>
        <w:rPr>
          <w:rFonts w:ascii="Times New Roman" w:hAnsi="Times New Roman" w:cs="Times New Roman"/>
          <w:sz w:val="24"/>
          <w:szCs w:val="24"/>
        </w:rPr>
        <w:t xml:space="preserve"> </w:t>
      </w:r>
      <w:r w:rsidRPr="00B06791">
        <w:rPr>
          <w:rFonts w:ascii="Times New Roman" w:hAnsi="Times New Roman" w:cs="Times New Roman"/>
          <w:sz w:val="24"/>
          <w:szCs w:val="24"/>
        </w:rPr>
        <w:t>is adopted for setting the questionnaire. Using t</w:t>
      </w:r>
      <w:r>
        <w:rPr>
          <w:rFonts w:ascii="Times New Roman" w:hAnsi="Times New Roman" w:cs="Times New Roman"/>
          <w:sz w:val="24"/>
          <w:szCs w:val="24"/>
        </w:rPr>
        <w:t xml:space="preserve">he questionnaire, the data were </w:t>
      </w:r>
      <w:r w:rsidRPr="00B06791">
        <w:rPr>
          <w:rFonts w:ascii="Times New Roman" w:hAnsi="Times New Roman" w:cs="Times New Roman"/>
          <w:sz w:val="24"/>
          <w:szCs w:val="24"/>
        </w:rPr>
        <w:t>collected from</w:t>
      </w:r>
      <w:r>
        <w:rPr>
          <w:rFonts w:ascii="Times New Roman" w:hAnsi="Times New Roman" w:cs="Times New Roman"/>
          <w:sz w:val="24"/>
          <w:szCs w:val="24"/>
        </w:rPr>
        <w:t xml:space="preserve"> </w:t>
      </w:r>
      <w:r w:rsidRPr="00B06791">
        <w:rPr>
          <w:rFonts w:ascii="Times New Roman" w:hAnsi="Times New Roman" w:cs="Times New Roman"/>
          <w:sz w:val="24"/>
          <w:szCs w:val="24"/>
        </w:rPr>
        <w:t>the customers. Data were collected using a self-completion questionnaire.</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Secondary data:</w:t>
      </w:r>
    </w:p>
    <w:p w:rsidR="00C74B80" w:rsidRPr="00B06791" w:rsidRDefault="00C74B80" w:rsidP="00C74B80">
      <w:pPr>
        <w:autoSpaceDE w:val="0"/>
        <w:autoSpaceDN w:val="0"/>
        <w:adjustRightInd w:val="0"/>
        <w:spacing w:after="0" w:line="360" w:lineRule="auto"/>
        <w:jc w:val="both"/>
        <w:rPr>
          <w:rFonts w:ascii="Times New Roman" w:hAnsi="Times New Roman" w:cs="Times New Roman"/>
          <w:sz w:val="24"/>
          <w:szCs w:val="24"/>
        </w:rPr>
      </w:pPr>
      <w:r w:rsidRPr="00B06791">
        <w:rPr>
          <w:rFonts w:ascii="Times New Roman" w:hAnsi="Times New Roman" w:cs="Times New Roman"/>
          <w:sz w:val="24"/>
          <w:szCs w:val="24"/>
        </w:rPr>
        <w:t>Information was also gathered from different journals and published matter on the internet. The</w:t>
      </w:r>
      <w:r>
        <w:rPr>
          <w:rFonts w:ascii="Times New Roman" w:hAnsi="Times New Roman" w:cs="Times New Roman"/>
          <w:sz w:val="24"/>
          <w:szCs w:val="24"/>
        </w:rPr>
        <w:t xml:space="preserve"> </w:t>
      </w:r>
      <w:r w:rsidRPr="00B06791">
        <w:rPr>
          <w:rFonts w:ascii="Times New Roman" w:hAnsi="Times New Roman" w:cs="Times New Roman"/>
          <w:sz w:val="24"/>
          <w:szCs w:val="24"/>
        </w:rPr>
        <w:t>duration of the research was three months, based on the need of the data the secondary data</w:t>
      </w:r>
      <w:r>
        <w:rPr>
          <w:rFonts w:ascii="Times New Roman" w:hAnsi="Times New Roman" w:cs="Times New Roman"/>
          <w:sz w:val="24"/>
          <w:szCs w:val="24"/>
        </w:rPr>
        <w:t xml:space="preserve"> </w:t>
      </w:r>
      <w:r w:rsidRPr="00B06791">
        <w:rPr>
          <w:rFonts w:ascii="Times New Roman" w:hAnsi="Times New Roman" w:cs="Times New Roman"/>
          <w:sz w:val="24"/>
          <w:szCs w:val="24"/>
        </w:rPr>
        <w:t>was collected from relevant sources.</w:t>
      </w:r>
    </w:p>
    <w:p w:rsidR="00C74B80" w:rsidRPr="00B06791" w:rsidRDefault="00C74B80" w:rsidP="00C74B80">
      <w:pPr>
        <w:autoSpaceDE w:val="0"/>
        <w:autoSpaceDN w:val="0"/>
        <w:adjustRightInd w:val="0"/>
        <w:spacing w:after="0" w:line="360" w:lineRule="auto"/>
        <w:jc w:val="both"/>
        <w:rPr>
          <w:rFonts w:ascii="Times New Roman" w:hAnsi="Times New Roman" w:cs="Times New Roman"/>
          <w:b/>
          <w:bCs/>
          <w:sz w:val="24"/>
          <w:szCs w:val="24"/>
        </w:rPr>
      </w:pPr>
      <w:r w:rsidRPr="00B06791">
        <w:rPr>
          <w:rFonts w:ascii="Times New Roman" w:hAnsi="Times New Roman" w:cs="Times New Roman"/>
          <w:b/>
          <w:bCs/>
          <w:sz w:val="24"/>
          <w:szCs w:val="24"/>
        </w:rPr>
        <w:t>PLAN OF ANALYSIS:</w:t>
      </w:r>
    </w:p>
    <w:p w:rsidR="00C74B80" w:rsidRPr="00C74B80" w:rsidRDefault="00C74B80" w:rsidP="00C74B80">
      <w:pPr>
        <w:autoSpaceDE w:val="0"/>
        <w:autoSpaceDN w:val="0"/>
        <w:adjustRightInd w:val="0"/>
        <w:spacing w:after="0" w:line="360" w:lineRule="auto"/>
        <w:jc w:val="both"/>
        <w:rPr>
          <w:rFonts w:ascii="Times New Roman" w:hAnsi="Times New Roman" w:cs="Times New Roman"/>
          <w:sz w:val="24"/>
          <w:szCs w:val="24"/>
        </w:rPr>
      </w:pPr>
      <w:r w:rsidRPr="00B06791">
        <w:rPr>
          <w:rFonts w:ascii="Times New Roman" w:hAnsi="Times New Roman" w:cs="Times New Roman"/>
          <w:sz w:val="24"/>
          <w:szCs w:val="24"/>
        </w:rPr>
        <w:t>The data collected from various sources will be tabulated and represented using the percentage</w:t>
      </w:r>
      <w:r>
        <w:rPr>
          <w:rFonts w:ascii="Times New Roman" w:hAnsi="Times New Roman" w:cs="Times New Roman"/>
          <w:sz w:val="24"/>
          <w:szCs w:val="24"/>
        </w:rPr>
        <w:t xml:space="preserve">, </w:t>
      </w:r>
      <w:r w:rsidRPr="00B06791">
        <w:rPr>
          <w:rFonts w:ascii="Times New Roman" w:hAnsi="Times New Roman" w:cs="Times New Roman"/>
          <w:sz w:val="24"/>
          <w:szCs w:val="24"/>
        </w:rPr>
        <w:t>method. Graphical tools such as bar diagrams, pie charts, line diagrams, etc will be used to</w:t>
      </w:r>
      <w:r>
        <w:rPr>
          <w:rFonts w:ascii="Times New Roman" w:hAnsi="Times New Roman" w:cs="Times New Roman"/>
          <w:sz w:val="24"/>
          <w:szCs w:val="24"/>
        </w:rPr>
        <w:t xml:space="preserve"> </w:t>
      </w:r>
      <w:r w:rsidRPr="00B06791">
        <w:rPr>
          <w:rFonts w:ascii="Times New Roman" w:hAnsi="Times New Roman" w:cs="Times New Roman"/>
          <w:sz w:val="24"/>
          <w:szCs w:val="24"/>
        </w:rPr>
        <w:t>illustrate the tabulated data pictorially. Inferences and interpretations of the data will be done</w:t>
      </w:r>
      <w:r>
        <w:rPr>
          <w:rFonts w:ascii="Times New Roman" w:hAnsi="Times New Roman" w:cs="Times New Roman"/>
          <w:sz w:val="24"/>
          <w:szCs w:val="24"/>
        </w:rPr>
        <w:t xml:space="preserve"> </w:t>
      </w:r>
      <w:r w:rsidRPr="00B06791">
        <w:rPr>
          <w:rFonts w:ascii="Times New Roman" w:hAnsi="Times New Roman" w:cs="Times New Roman"/>
          <w:sz w:val="24"/>
          <w:szCs w:val="24"/>
        </w:rPr>
        <w:t>on the basis of tabulated data</w:t>
      </w:r>
    </w:p>
    <w:p w:rsidR="00C74B80" w:rsidRDefault="00C74B80" w:rsidP="00C74B80">
      <w:pPr>
        <w:spacing w:line="360" w:lineRule="auto"/>
        <w:jc w:val="both"/>
        <w:rPr>
          <w:rFonts w:ascii="Times New Roman" w:hAnsi="Times New Roman" w:cs="Times New Roman"/>
          <w:b/>
          <w:sz w:val="28"/>
          <w:szCs w:val="24"/>
        </w:rPr>
      </w:pPr>
    </w:p>
    <w:p w:rsidR="00C74B80" w:rsidRDefault="00C74B80" w:rsidP="00C74B80">
      <w:pPr>
        <w:spacing w:line="360" w:lineRule="auto"/>
        <w:jc w:val="both"/>
        <w:rPr>
          <w:rFonts w:ascii="Times New Roman" w:hAnsi="Times New Roman" w:cs="Times New Roman"/>
          <w:b/>
          <w:sz w:val="28"/>
          <w:szCs w:val="24"/>
        </w:rPr>
      </w:pPr>
    </w:p>
    <w:p w:rsidR="00C74B80" w:rsidRDefault="00C74B80" w:rsidP="00C74B80">
      <w:pPr>
        <w:spacing w:line="360" w:lineRule="auto"/>
        <w:jc w:val="both"/>
        <w:rPr>
          <w:rFonts w:ascii="Times New Roman" w:hAnsi="Times New Roman" w:cs="Times New Roman"/>
          <w:b/>
          <w:sz w:val="28"/>
          <w:szCs w:val="24"/>
        </w:rPr>
      </w:pPr>
    </w:p>
    <w:p w:rsidR="00C74B80" w:rsidRDefault="00C74B80" w:rsidP="00C74B80">
      <w:pPr>
        <w:spacing w:line="360" w:lineRule="auto"/>
        <w:jc w:val="both"/>
        <w:rPr>
          <w:rFonts w:ascii="Times New Roman" w:hAnsi="Times New Roman" w:cs="Times New Roman"/>
          <w:b/>
          <w:sz w:val="28"/>
          <w:szCs w:val="24"/>
        </w:rPr>
      </w:pPr>
    </w:p>
    <w:p w:rsidR="00CF208D" w:rsidRPr="009C2273" w:rsidRDefault="009C2273" w:rsidP="00C74B80">
      <w:pPr>
        <w:spacing w:line="360" w:lineRule="auto"/>
        <w:jc w:val="both"/>
        <w:rPr>
          <w:rFonts w:ascii="Times New Roman" w:hAnsi="Times New Roman" w:cs="Times New Roman"/>
          <w:b/>
          <w:sz w:val="28"/>
          <w:szCs w:val="24"/>
        </w:rPr>
      </w:pPr>
      <w:r w:rsidRPr="009C2273">
        <w:rPr>
          <w:rFonts w:ascii="Times New Roman" w:hAnsi="Times New Roman" w:cs="Times New Roman"/>
          <w:b/>
          <w:sz w:val="28"/>
          <w:szCs w:val="24"/>
        </w:rPr>
        <w:lastRenderedPageBreak/>
        <w:t>2.1 REVIEW OF LITERATURE</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sz w:val="24"/>
          <w:szCs w:val="24"/>
        </w:rPr>
        <w:t>Considerable attention has been paid to the field of research</w:t>
      </w:r>
      <w:r>
        <w:rPr>
          <w:rFonts w:ascii="Times New Roman" w:hAnsi="Times New Roman" w:cs="Times New Roman"/>
          <w:sz w:val="24"/>
          <w:szCs w:val="24"/>
        </w:rPr>
        <w:t xml:space="preserve"> related to E-Mobility and more </w:t>
      </w:r>
      <w:r w:rsidRPr="005D04CF">
        <w:rPr>
          <w:rFonts w:ascii="Times New Roman" w:hAnsi="Times New Roman" w:cs="Times New Roman"/>
          <w:sz w:val="24"/>
          <w:szCs w:val="24"/>
        </w:rPr>
        <w:t>specifically, on the market trends related to the mobility and compari</w:t>
      </w:r>
      <w:r>
        <w:rPr>
          <w:rFonts w:ascii="Times New Roman" w:hAnsi="Times New Roman" w:cs="Times New Roman"/>
          <w:sz w:val="24"/>
          <w:szCs w:val="24"/>
        </w:rPr>
        <w:t xml:space="preserve">son of enabling regulatory </w:t>
      </w:r>
      <w:r w:rsidRPr="005D04CF">
        <w:rPr>
          <w:rFonts w:ascii="Times New Roman" w:hAnsi="Times New Roman" w:cs="Times New Roman"/>
          <w:sz w:val="24"/>
          <w:szCs w:val="24"/>
        </w:rPr>
        <w:t>frameworks for faster adaption of EVs transition from the ICE v</w:t>
      </w:r>
      <w:r>
        <w:rPr>
          <w:rFonts w:ascii="Times New Roman" w:hAnsi="Times New Roman" w:cs="Times New Roman"/>
          <w:sz w:val="24"/>
          <w:szCs w:val="24"/>
        </w:rPr>
        <w:t xml:space="preserve">ehicles. This paper cites a few </w:t>
      </w:r>
      <w:r w:rsidRPr="005D04CF">
        <w:rPr>
          <w:rFonts w:ascii="Times New Roman" w:hAnsi="Times New Roman" w:cs="Times New Roman"/>
          <w:sz w:val="24"/>
          <w:szCs w:val="24"/>
        </w:rPr>
        <w:t>of these works. Fanchao Liao et al in their research throw</w:t>
      </w:r>
      <w:r>
        <w:rPr>
          <w:rFonts w:ascii="Times New Roman" w:hAnsi="Times New Roman" w:cs="Times New Roman"/>
          <w:sz w:val="24"/>
          <w:szCs w:val="24"/>
        </w:rPr>
        <w:t xml:space="preserve"> light on methodology, modelling </w:t>
      </w:r>
      <w:r w:rsidRPr="005D04CF">
        <w:rPr>
          <w:rFonts w:ascii="Times New Roman" w:hAnsi="Times New Roman" w:cs="Times New Roman"/>
          <w:sz w:val="24"/>
          <w:szCs w:val="24"/>
        </w:rPr>
        <w:t>techniques and experiment designed to conduct studies on EV preference.</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Pritam K. Gujarathi et al</w:t>
      </w:r>
      <w:r w:rsidRPr="005D04CF">
        <w:rPr>
          <w:rFonts w:ascii="Times New Roman" w:hAnsi="Times New Roman" w:cs="Times New Roman"/>
          <w:sz w:val="24"/>
          <w:szCs w:val="24"/>
        </w:rPr>
        <w:t xml:space="preserve"> present a case study on Consumer’s p</w:t>
      </w:r>
      <w:r>
        <w:rPr>
          <w:rFonts w:ascii="Times New Roman" w:hAnsi="Times New Roman" w:cs="Times New Roman"/>
          <w:sz w:val="24"/>
          <w:szCs w:val="24"/>
        </w:rPr>
        <w:t xml:space="preserve">erspective to understand ground </w:t>
      </w:r>
      <w:r w:rsidRPr="005D04CF">
        <w:rPr>
          <w:rFonts w:ascii="Times New Roman" w:hAnsi="Times New Roman" w:cs="Times New Roman"/>
          <w:sz w:val="24"/>
          <w:szCs w:val="24"/>
        </w:rPr>
        <w:t>realities and also discuss tariff for EV charging, challenges for Indian market growth, po</w:t>
      </w:r>
      <w:r>
        <w:rPr>
          <w:rFonts w:ascii="Times New Roman" w:hAnsi="Times New Roman" w:cs="Times New Roman"/>
          <w:sz w:val="24"/>
          <w:szCs w:val="24"/>
        </w:rPr>
        <w:t xml:space="preserve">licies </w:t>
      </w:r>
      <w:r w:rsidRPr="005D04CF">
        <w:rPr>
          <w:rFonts w:ascii="Times New Roman" w:hAnsi="Times New Roman" w:cs="Times New Roman"/>
          <w:sz w:val="24"/>
          <w:szCs w:val="24"/>
        </w:rPr>
        <w:t>and promotions required.</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John Paul Helveston et al</w:t>
      </w:r>
      <w:r w:rsidRPr="005D04CF">
        <w:rPr>
          <w:rFonts w:ascii="Times New Roman" w:hAnsi="Times New Roman" w:cs="Times New Roman"/>
          <w:sz w:val="24"/>
          <w:szCs w:val="24"/>
        </w:rPr>
        <w:t xml:space="preserve"> presents a comparative study of </w:t>
      </w:r>
      <w:r>
        <w:rPr>
          <w:rFonts w:ascii="Times New Roman" w:hAnsi="Times New Roman" w:cs="Times New Roman"/>
          <w:sz w:val="24"/>
          <w:szCs w:val="24"/>
        </w:rPr>
        <w:t xml:space="preserve">EV preference among Chinese and </w:t>
      </w:r>
      <w:r w:rsidRPr="005D04CF">
        <w:rPr>
          <w:rFonts w:ascii="Times New Roman" w:hAnsi="Times New Roman" w:cs="Times New Roman"/>
          <w:sz w:val="24"/>
          <w:szCs w:val="24"/>
        </w:rPr>
        <w:t xml:space="preserve">American consumers and how low and midrange </w:t>
      </w:r>
      <w:r w:rsidR="006F4729" w:rsidRPr="005D04CF">
        <w:rPr>
          <w:rFonts w:ascii="Times New Roman" w:hAnsi="Times New Roman" w:cs="Times New Roman"/>
          <w:sz w:val="24"/>
          <w:szCs w:val="24"/>
        </w:rPr>
        <w:t>Plug-</w:t>
      </w:r>
      <w:r w:rsidR="006F4729">
        <w:rPr>
          <w:rFonts w:ascii="Times New Roman" w:hAnsi="Times New Roman" w:cs="Times New Roman"/>
          <w:sz w:val="24"/>
          <w:szCs w:val="24"/>
        </w:rPr>
        <w:t>i</w:t>
      </w:r>
      <w:r w:rsidR="006F4729" w:rsidRPr="005D04CF">
        <w:rPr>
          <w:rFonts w:ascii="Times New Roman" w:hAnsi="Times New Roman" w:cs="Times New Roman"/>
          <w:sz w:val="24"/>
          <w:szCs w:val="24"/>
        </w:rPr>
        <w:t xml:space="preserve">n </w:t>
      </w:r>
      <w:r w:rsidR="006F4729">
        <w:rPr>
          <w:rFonts w:ascii="Times New Roman" w:hAnsi="Times New Roman" w:cs="Times New Roman"/>
          <w:sz w:val="24"/>
          <w:szCs w:val="24"/>
        </w:rPr>
        <w:t>Hybrid Electric Vehicles</w:t>
      </w:r>
      <w:r>
        <w:rPr>
          <w:rFonts w:ascii="Times New Roman" w:hAnsi="Times New Roman" w:cs="Times New Roman"/>
          <w:sz w:val="24"/>
          <w:szCs w:val="24"/>
        </w:rPr>
        <w:t xml:space="preserve"> (PHEV) </w:t>
      </w:r>
      <w:r w:rsidRPr="005D04CF">
        <w:rPr>
          <w:rFonts w:ascii="Times New Roman" w:hAnsi="Times New Roman" w:cs="Times New Roman"/>
          <w:sz w:val="24"/>
          <w:szCs w:val="24"/>
        </w:rPr>
        <w:t>compete against their gasoline counterparts in the similar price</w:t>
      </w:r>
      <w:r>
        <w:rPr>
          <w:rFonts w:ascii="Times New Roman" w:hAnsi="Times New Roman" w:cs="Times New Roman"/>
          <w:sz w:val="24"/>
          <w:szCs w:val="24"/>
        </w:rPr>
        <w:t xml:space="preserve"> range without national subsidy </w:t>
      </w:r>
      <w:r w:rsidRPr="005D04CF">
        <w:rPr>
          <w:rFonts w:ascii="Times New Roman" w:hAnsi="Times New Roman" w:cs="Times New Roman"/>
          <w:sz w:val="24"/>
          <w:szCs w:val="24"/>
        </w:rPr>
        <w:t>in these two countries.</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Theo Lieven et al</w:t>
      </w:r>
      <w:r w:rsidRPr="005D04CF">
        <w:rPr>
          <w:rFonts w:ascii="Times New Roman" w:hAnsi="Times New Roman" w:cs="Times New Roman"/>
          <w:sz w:val="24"/>
          <w:szCs w:val="24"/>
        </w:rPr>
        <w:t xml:space="preserve"> provide information on impact of range bar</w:t>
      </w:r>
      <w:r>
        <w:rPr>
          <w:rFonts w:ascii="Times New Roman" w:hAnsi="Times New Roman" w:cs="Times New Roman"/>
          <w:sz w:val="24"/>
          <w:szCs w:val="24"/>
        </w:rPr>
        <w:t xml:space="preserve">rier, price range among several </w:t>
      </w:r>
      <w:r w:rsidRPr="005D04CF">
        <w:rPr>
          <w:rFonts w:ascii="Times New Roman" w:hAnsi="Times New Roman" w:cs="Times New Roman"/>
          <w:sz w:val="24"/>
          <w:szCs w:val="24"/>
        </w:rPr>
        <w:t>vehicle categories on the preference of EV.</w:t>
      </w:r>
    </w:p>
    <w:p w:rsidR="00CF208D"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Patrick Plötz et al</w:t>
      </w:r>
      <w:r w:rsidRPr="005D04CF">
        <w:rPr>
          <w:rFonts w:ascii="Times New Roman" w:hAnsi="Times New Roman" w:cs="Times New Roman"/>
          <w:sz w:val="24"/>
          <w:szCs w:val="24"/>
        </w:rPr>
        <w:t xml:space="preserve"> opine that EV adoption is limited to pri</w:t>
      </w:r>
      <w:r>
        <w:rPr>
          <w:rFonts w:ascii="Times New Roman" w:hAnsi="Times New Roman" w:cs="Times New Roman"/>
          <w:sz w:val="24"/>
          <w:szCs w:val="24"/>
        </w:rPr>
        <w:t xml:space="preserve">vate EV buyers, middle aged men </w:t>
      </w:r>
      <w:r w:rsidRPr="005D04CF">
        <w:rPr>
          <w:rFonts w:ascii="Times New Roman" w:hAnsi="Times New Roman" w:cs="Times New Roman"/>
          <w:sz w:val="24"/>
          <w:szCs w:val="24"/>
        </w:rPr>
        <w:t>with technical professions and living in sub-urban multi</w:t>
      </w:r>
      <w:r>
        <w:rPr>
          <w:rFonts w:ascii="Times New Roman" w:hAnsi="Times New Roman" w:cs="Times New Roman"/>
          <w:sz w:val="24"/>
          <w:szCs w:val="24"/>
        </w:rPr>
        <w:t>-</w:t>
      </w:r>
      <w:r w:rsidRPr="005D04CF">
        <w:rPr>
          <w:rFonts w:ascii="Times New Roman" w:hAnsi="Times New Roman" w:cs="Times New Roman"/>
          <w:sz w:val="24"/>
          <w:szCs w:val="24"/>
        </w:rPr>
        <w:t>person household.</w:t>
      </w:r>
      <w:r>
        <w:rPr>
          <w:rFonts w:ascii="Times New Roman" w:hAnsi="Times New Roman" w:cs="Times New Roman"/>
          <w:sz w:val="24"/>
          <w:szCs w:val="24"/>
        </w:rPr>
        <w:t xml:space="preserve"> </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Ghazale Haddadian et al</w:t>
      </w:r>
      <w:r w:rsidRPr="005D04CF">
        <w:rPr>
          <w:rFonts w:ascii="Times New Roman" w:hAnsi="Times New Roman" w:cs="Times New Roman"/>
          <w:sz w:val="24"/>
          <w:szCs w:val="24"/>
        </w:rPr>
        <w:t xml:space="preserve"> call attention to policy makers to</w:t>
      </w:r>
      <w:r>
        <w:rPr>
          <w:rFonts w:ascii="Times New Roman" w:hAnsi="Times New Roman" w:cs="Times New Roman"/>
          <w:sz w:val="24"/>
          <w:szCs w:val="24"/>
        </w:rPr>
        <w:t xml:space="preserve"> incorporate both push and pull </w:t>
      </w:r>
      <w:r w:rsidRPr="005D04CF">
        <w:rPr>
          <w:rFonts w:ascii="Times New Roman" w:hAnsi="Times New Roman" w:cs="Times New Roman"/>
          <w:sz w:val="24"/>
          <w:szCs w:val="24"/>
        </w:rPr>
        <w:t>strategies within incentives scheme for mass EV adoption.</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 xml:space="preserve">Anco Hoen et al </w:t>
      </w:r>
      <w:r w:rsidRPr="005D04CF">
        <w:rPr>
          <w:rFonts w:ascii="Times New Roman" w:hAnsi="Times New Roman" w:cs="Times New Roman"/>
          <w:sz w:val="24"/>
          <w:szCs w:val="24"/>
        </w:rPr>
        <w:t>give insights on the concerns of priva</w:t>
      </w:r>
      <w:r>
        <w:rPr>
          <w:rFonts w:ascii="Times New Roman" w:hAnsi="Times New Roman" w:cs="Times New Roman"/>
          <w:sz w:val="24"/>
          <w:szCs w:val="24"/>
        </w:rPr>
        <w:t xml:space="preserve">te car owners based on negative </w:t>
      </w:r>
      <w:r w:rsidRPr="005D04CF">
        <w:rPr>
          <w:rFonts w:ascii="Times New Roman" w:hAnsi="Times New Roman" w:cs="Times New Roman"/>
          <w:sz w:val="24"/>
          <w:szCs w:val="24"/>
        </w:rPr>
        <w:t xml:space="preserve">preferences for the electric and fuel cell car, due to limited </w:t>
      </w:r>
      <w:r>
        <w:rPr>
          <w:rFonts w:ascii="Times New Roman" w:hAnsi="Times New Roman" w:cs="Times New Roman"/>
          <w:sz w:val="24"/>
          <w:szCs w:val="24"/>
        </w:rPr>
        <w:t xml:space="preserve">driving range and high charging </w:t>
      </w:r>
      <w:r w:rsidRPr="005D04CF">
        <w:rPr>
          <w:rFonts w:ascii="Times New Roman" w:hAnsi="Times New Roman" w:cs="Times New Roman"/>
          <w:sz w:val="24"/>
          <w:szCs w:val="24"/>
        </w:rPr>
        <w:t>times.</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 xml:space="preserve">Paul D et al </w:t>
      </w:r>
      <w:r w:rsidRPr="005D04CF">
        <w:rPr>
          <w:rFonts w:ascii="Times New Roman" w:hAnsi="Times New Roman" w:cs="Times New Roman"/>
          <w:sz w:val="24"/>
          <w:szCs w:val="24"/>
        </w:rPr>
        <w:t xml:space="preserve">discuss about van Westendorp price sensitivity </w:t>
      </w:r>
      <w:r>
        <w:rPr>
          <w:rFonts w:ascii="Times New Roman" w:hAnsi="Times New Roman" w:cs="Times New Roman"/>
          <w:sz w:val="24"/>
          <w:szCs w:val="24"/>
        </w:rPr>
        <w:t xml:space="preserve">method and showcase the </w:t>
      </w:r>
      <w:r w:rsidRPr="005D04CF">
        <w:rPr>
          <w:rFonts w:ascii="Times New Roman" w:hAnsi="Times New Roman" w:cs="Times New Roman"/>
          <w:sz w:val="24"/>
          <w:szCs w:val="24"/>
        </w:rPr>
        <w:t>acceptable price range for EVs. Also provide insight on un</w:t>
      </w:r>
      <w:r>
        <w:rPr>
          <w:rFonts w:ascii="Times New Roman" w:hAnsi="Times New Roman" w:cs="Times New Roman"/>
          <w:sz w:val="24"/>
          <w:szCs w:val="24"/>
        </w:rPr>
        <w:t xml:space="preserve">willingness of consumers to pay </w:t>
      </w:r>
      <w:r w:rsidRPr="005D04CF">
        <w:rPr>
          <w:rFonts w:ascii="Times New Roman" w:hAnsi="Times New Roman" w:cs="Times New Roman"/>
          <w:sz w:val="24"/>
          <w:szCs w:val="24"/>
        </w:rPr>
        <w:t>huge premium in spite of providing information on future fuel savings.</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lastRenderedPageBreak/>
        <w:t>Kenneth Lebeau et al</w:t>
      </w:r>
      <w:r w:rsidRPr="005D04CF">
        <w:rPr>
          <w:rFonts w:ascii="Times New Roman" w:hAnsi="Times New Roman" w:cs="Times New Roman"/>
          <w:sz w:val="24"/>
          <w:szCs w:val="24"/>
        </w:rPr>
        <w:t xml:space="preserve"> present an interesting insight that consumers with</w:t>
      </w:r>
      <w:r>
        <w:rPr>
          <w:rFonts w:ascii="Times New Roman" w:hAnsi="Times New Roman" w:cs="Times New Roman"/>
          <w:sz w:val="24"/>
          <w:szCs w:val="24"/>
        </w:rPr>
        <w:t xml:space="preserve"> more knowledge want </w:t>
      </w:r>
      <w:r w:rsidRPr="005D04CF">
        <w:rPr>
          <w:rFonts w:ascii="Times New Roman" w:hAnsi="Times New Roman" w:cs="Times New Roman"/>
          <w:sz w:val="24"/>
          <w:szCs w:val="24"/>
        </w:rPr>
        <w:t>a car with a higher maximum speed and desire faster charg</w:t>
      </w:r>
      <w:r>
        <w:rPr>
          <w:rFonts w:ascii="Times New Roman" w:hAnsi="Times New Roman" w:cs="Times New Roman"/>
          <w:sz w:val="24"/>
          <w:szCs w:val="24"/>
        </w:rPr>
        <w:t xml:space="preserve">ing durations. Zulkarnain et al </w:t>
      </w:r>
      <w:r w:rsidRPr="005D04CF">
        <w:rPr>
          <w:rFonts w:ascii="Times New Roman" w:hAnsi="Times New Roman" w:cs="Times New Roman"/>
          <w:sz w:val="24"/>
          <w:szCs w:val="24"/>
        </w:rPr>
        <w:t>proposes a conceptual model of EV ecosystem with e</w:t>
      </w:r>
      <w:r>
        <w:rPr>
          <w:rFonts w:ascii="Times New Roman" w:hAnsi="Times New Roman" w:cs="Times New Roman"/>
          <w:sz w:val="24"/>
          <w:szCs w:val="24"/>
        </w:rPr>
        <w:t xml:space="preserve">mphasis on consumer acceptance, </w:t>
      </w:r>
      <w:r w:rsidRPr="005D04CF">
        <w:rPr>
          <w:rFonts w:ascii="Times New Roman" w:hAnsi="Times New Roman" w:cs="Times New Roman"/>
          <w:sz w:val="24"/>
          <w:szCs w:val="24"/>
        </w:rPr>
        <w:t>Technical and environmental challenges.</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sz w:val="24"/>
          <w:szCs w:val="24"/>
        </w:rPr>
        <w:t>Majority of the papers reviewed provide insights on EVs as a se</w:t>
      </w:r>
      <w:r>
        <w:rPr>
          <w:rFonts w:ascii="Times New Roman" w:hAnsi="Times New Roman" w:cs="Times New Roman"/>
          <w:sz w:val="24"/>
          <w:szCs w:val="24"/>
        </w:rPr>
        <w:t xml:space="preserve">gment and literature related to </w:t>
      </w:r>
      <w:r w:rsidRPr="005D04CF">
        <w:rPr>
          <w:rFonts w:ascii="Times New Roman" w:hAnsi="Times New Roman" w:cs="Times New Roman"/>
          <w:sz w:val="24"/>
          <w:szCs w:val="24"/>
        </w:rPr>
        <w:t xml:space="preserve">studies on preference of </w:t>
      </w:r>
      <w:r w:rsidR="006901CC">
        <w:rPr>
          <w:rFonts w:ascii="Times New Roman" w:hAnsi="Times New Roman" w:cs="Times New Roman"/>
          <w:sz w:val="24"/>
          <w:szCs w:val="24"/>
        </w:rPr>
        <w:t>e</w:t>
      </w:r>
      <w:r w:rsidRPr="005D04CF">
        <w:rPr>
          <w:rFonts w:ascii="Times New Roman" w:hAnsi="Times New Roman" w:cs="Times New Roman"/>
          <w:sz w:val="24"/>
          <w:szCs w:val="24"/>
        </w:rPr>
        <w:t>lectric cars is limited. Concern re</w:t>
      </w:r>
      <w:r>
        <w:rPr>
          <w:rFonts w:ascii="Times New Roman" w:hAnsi="Times New Roman" w:cs="Times New Roman"/>
          <w:sz w:val="24"/>
          <w:szCs w:val="24"/>
        </w:rPr>
        <w:t xml:space="preserve">garding charging infrastructure </w:t>
      </w:r>
      <w:r w:rsidRPr="005D04CF">
        <w:rPr>
          <w:rFonts w:ascii="Times New Roman" w:hAnsi="Times New Roman" w:cs="Times New Roman"/>
          <w:sz w:val="24"/>
          <w:szCs w:val="24"/>
        </w:rPr>
        <w:t>overshadow all other concerns. Research evidence on</w:t>
      </w:r>
      <w:r>
        <w:rPr>
          <w:rFonts w:ascii="Times New Roman" w:hAnsi="Times New Roman" w:cs="Times New Roman"/>
          <w:sz w:val="24"/>
          <w:szCs w:val="24"/>
        </w:rPr>
        <w:t xml:space="preserve"> comparing government policies, </w:t>
      </w:r>
      <w:r w:rsidRPr="005D04CF">
        <w:rPr>
          <w:rFonts w:ascii="Times New Roman" w:hAnsi="Times New Roman" w:cs="Times New Roman"/>
          <w:sz w:val="24"/>
          <w:szCs w:val="24"/>
        </w:rPr>
        <w:t>Consumer preference and the loopholes arising out of it is lim</w:t>
      </w:r>
      <w:r>
        <w:rPr>
          <w:rFonts w:ascii="Times New Roman" w:hAnsi="Times New Roman" w:cs="Times New Roman"/>
          <w:sz w:val="24"/>
          <w:szCs w:val="24"/>
        </w:rPr>
        <w:t xml:space="preserve">ited. Focused research relating </w:t>
      </w:r>
      <w:r w:rsidRPr="005D04CF">
        <w:rPr>
          <w:rFonts w:ascii="Times New Roman" w:hAnsi="Times New Roman" w:cs="Times New Roman"/>
          <w:sz w:val="24"/>
          <w:szCs w:val="24"/>
        </w:rPr>
        <w:t xml:space="preserve">to mid segment market income group is essential as they form </w:t>
      </w:r>
      <w:r>
        <w:rPr>
          <w:rFonts w:ascii="Times New Roman" w:hAnsi="Times New Roman" w:cs="Times New Roman"/>
          <w:sz w:val="24"/>
          <w:szCs w:val="24"/>
        </w:rPr>
        <w:t xml:space="preserve">the major segment of the Indian </w:t>
      </w:r>
      <w:r w:rsidRPr="005D04CF">
        <w:rPr>
          <w:rFonts w:ascii="Times New Roman" w:hAnsi="Times New Roman" w:cs="Times New Roman"/>
          <w:sz w:val="24"/>
          <w:szCs w:val="24"/>
        </w:rPr>
        <w:t>automotive sector business.</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 xml:space="preserve">(EEA, 2018) </w:t>
      </w:r>
      <w:r w:rsidRPr="005D04CF">
        <w:rPr>
          <w:rFonts w:ascii="Times New Roman" w:hAnsi="Times New Roman" w:cs="Times New Roman"/>
          <w:sz w:val="24"/>
          <w:szCs w:val="24"/>
        </w:rPr>
        <w:t>Conventional vehicles are a major cause of g</w:t>
      </w:r>
      <w:r>
        <w:rPr>
          <w:rFonts w:ascii="Times New Roman" w:hAnsi="Times New Roman" w:cs="Times New Roman"/>
          <w:sz w:val="24"/>
          <w:szCs w:val="24"/>
        </w:rPr>
        <w:t xml:space="preserve">lobal warming and environmental </w:t>
      </w:r>
      <w:r w:rsidRPr="005D04CF">
        <w:rPr>
          <w:rFonts w:ascii="Times New Roman" w:hAnsi="Times New Roman" w:cs="Times New Roman"/>
          <w:sz w:val="24"/>
          <w:szCs w:val="24"/>
        </w:rPr>
        <w:t>air pollution. All types of vehicles produce dust from brakes, ti</w:t>
      </w:r>
      <w:r>
        <w:rPr>
          <w:rFonts w:ascii="Times New Roman" w:hAnsi="Times New Roman" w:cs="Times New Roman"/>
          <w:sz w:val="24"/>
          <w:szCs w:val="24"/>
        </w:rPr>
        <w:t xml:space="preserve">res, and road wear. The average </w:t>
      </w:r>
      <w:r w:rsidRPr="005D04CF">
        <w:rPr>
          <w:rFonts w:ascii="Times New Roman" w:hAnsi="Times New Roman" w:cs="Times New Roman"/>
          <w:sz w:val="24"/>
          <w:szCs w:val="24"/>
        </w:rPr>
        <w:t>diesel vehicle has worse effect on air quality than the average gasolin</w:t>
      </w:r>
      <w:r>
        <w:rPr>
          <w:rFonts w:ascii="Times New Roman" w:hAnsi="Times New Roman" w:cs="Times New Roman"/>
          <w:sz w:val="24"/>
          <w:szCs w:val="24"/>
        </w:rPr>
        <w:t xml:space="preserve">e vehicle. But both </w:t>
      </w:r>
      <w:r w:rsidRPr="005D04CF">
        <w:rPr>
          <w:rFonts w:ascii="Times New Roman" w:hAnsi="Times New Roman" w:cs="Times New Roman"/>
          <w:sz w:val="24"/>
          <w:szCs w:val="24"/>
        </w:rPr>
        <w:t>gasoline and diesel vehicle pollutes more than the electric vehicle.</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(Gulati, 2013)</w:t>
      </w:r>
      <w:r w:rsidRPr="005D04CF">
        <w:rPr>
          <w:rFonts w:ascii="Times New Roman" w:hAnsi="Times New Roman" w:cs="Times New Roman"/>
          <w:sz w:val="24"/>
          <w:szCs w:val="24"/>
        </w:rPr>
        <w:t xml:space="preserve"> The National Electric Mobility Missio</w:t>
      </w:r>
      <w:r>
        <w:rPr>
          <w:rFonts w:ascii="Times New Roman" w:hAnsi="Times New Roman" w:cs="Times New Roman"/>
          <w:sz w:val="24"/>
          <w:szCs w:val="24"/>
        </w:rPr>
        <w:t xml:space="preserve">n Plan (NEMMP) 2020, a National </w:t>
      </w:r>
      <w:r w:rsidRPr="005D04CF">
        <w:rPr>
          <w:rFonts w:ascii="Times New Roman" w:hAnsi="Times New Roman" w:cs="Times New Roman"/>
          <w:sz w:val="24"/>
          <w:szCs w:val="24"/>
        </w:rPr>
        <w:t>Mission document providing the vision and therefore the roadmap for the faster adop</w:t>
      </w:r>
      <w:r>
        <w:rPr>
          <w:rFonts w:ascii="Times New Roman" w:hAnsi="Times New Roman" w:cs="Times New Roman"/>
          <w:sz w:val="24"/>
          <w:szCs w:val="24"/>
        </w:rPr>
        <w:t xml:space="preserve">tion of </w:t>
      </w:r>
      <w:r w:rsidRPr="005D04CF">
        <w:rPr>
          <w:rFonts w:ascii="Times New Roman" w:hAnsi="Times New Roman" w:cs="Times New Roman"/>
          <w:sz w:val="24"/>
          <w:szCs w:val="24"/>
        </w:rPr>
        <w:t>EVs and its manufacturing. This plan has been designed to b</w:t>
      </w:r>
      <w:r>
        <w:rPr>
          <w:rFonts w:ascii="Times New Roman" w:hAnsi="Times New Roman" w:cs="Times New Roman"/>
          <w:sz w:val="24"/>
          <w:szCs w:val="24"/>
        </w:rPr>
        <w:t xml:space="preserve">oost national fuel security, to </w:t>
      </w:r>
      <w:r w:rsidRPr="005D04CF">
        <w:rPr>
          <w:rFonts w:ascii="Times New Roman" w:hAnsi="Times New Roman" w:cs="Times New Roman"/>
          <w:sz w:val="24"/>
          <w:szCs w:val="24"/>
        </w:rPr>
        <w:t>supply affordable and environmentally friendly transport</w:t>
      </w:r>
      <w:r>
        <w:rPr>
          <w:rFonts w:ascii="Times New Roman" w:hAnsi="Times New Roman" w:cs="Times New Roman"/>
          <w:sz w:val="24"/>
          <w:szCs w:val="24"/>
        </w:rPr>
        <w:t xml:space="preserve">ation, and to enable the Indian </w:t>
      </w:r>
      <w:r w:rsidRPr="005D04CF">
        <w:rPr>
          <w:rFonts w:ascii="Times New Roman" w:hAnsi="Times New Roman" w:cs="Times New Roman"/>
          <w:sz w:val="24"/>
          <w:szCs w:val="24"/>
        </w:rPr>
        <w:t>automotive industry to attain global manufacturing leadership.</w:t>
      </w:r>
    </w:p>
    <w:p w:rsidR="005D04CF" w:rsidRPr="005D04CF" w:rsidRDefault="005D04CF" w:rsidP="00C74B80">
      <w:pPr>
        <w:spacing w:line="360" w:lineRule="auto"/>
        <w:jc w:val="both"/>
        <w:rPr>
          <w:rFonts w:ascii="Times New Roman" w:hAnsi="Times New Roman" w:cs="Times New Roman"/>
          <w:sz w:val="24"/>
          <w:szCs w:val="24"/>
        </w:rPr>
      </w:pPr>
      <w:r w:rsidRPr="005D04CF">
        <w:rPr>
          <w:rFonts w:ascii="Times New Roman" w:hAnsi="Times New Roman" w:cs="Times New Roman"/>
          <w:b/>
          <w:sz w:val="24"/>
          <w:szCs w:val="24"/>
        </w:rPr>
        <w:t xml:space="preserve">(Philippe Lebeau, 2015) </w:t>
      </w:r>
      <w:r w:rsidRPr="005D04CF">
        <w:rPr>
          <w:rFonts w:ascii="Times New Roman" w:hAnsi="Times New Roman" w:cs="Times New Roman"/>
          <w:sz w:val="24"/>
          <w:szCs w:val="24"/>
        </w:rPr>
        <w:t>Freight transport has a major impact on urban movement. Researcher</w:t>
      </w:r>
      <w:r>
        <w:rPr>
          <w:rFonts w:ascii="Times New Roman" w:hAnsi="Times New Roman" w:cs="Times New Roman"/>
          <w:sz w:val="24"/>
          <w:szCs w:val="24"/>
        </w:rPr>
        <w:t xml:space="preserve"> </w:t>
      </w:r>
      <w:r w:rsidRPr="005D04CF">
        <w:rPr>
          <w:rFonts w:ascii="Times New Roman" w:hAnsi="Times New Roman" w:cs="Times New Roman"/>
          <w:sz w:val="24"/>
          <w:szCs w:val="24"/>
        </w:rPr>
        <w:t>explored the possible integration of electric vehicles in urban log</w:t>
      </w:r>
      <w:r>
        <w:rPr>
          <w:rFonts w:ascii="Times New Roman" w:hAnsi="Times New Roman" w:cs="Times New Roman"/>
          <w:sz w:val="24"/>
          <w:szCs w:val="24"/>
        </w:rPr>
        <w:t xml:space="preserve">istics operations. A fleet with </w:t>
      </w:r>
      <w:r w:rsidRPr="005D04CF">
        <w:rPr>
          <w:rFonts w:ascii="Times New Roman" w:hAnsi="Times New Roman" w:cs="Times New Roman"/>
          <w:sz w:val="24"/>
          <w:szCs w:val="24"/>
        </w:rPr>
        <w:t xml:space="preserve">different technologies has the opportunity of reducing the costs of the </w:t>
      </w:r>
      <w:r>
        <w:rPr>
          <w:rFonts w:ascii="Times New Roman" w:hAnsi="Times New Roman" w:cs="Times New Roman"/>
          <w:sz w:val="24"/>
          <w:szCs w:val="24"/>
        </w:rPr>
        <w:t xml:space="preserve">last mile. Researcher </w:t>
      </w:r>
      <w:r w:rsidRPr="005D04CF">
        <w:rPr>
          <w:rFonts w:ascii="Times New Roman" w:hAnsi="Times New Roman" w:cs="Times New Roman"/>
          <w:sz w:val="24"/>
          <w:szCs w:val="24"/>
        </w:rPr>
        <w:t>presented a fleet size and mix vehicle routing problem with</w:t>
      </w:r>
      <w:r>
        <w:rPr>
          <w:rFonts w:ascii="Times New Roman" w:hAnsi="Times New Roman" w:cs="Times New Roman"/>
          <w:sz w:val="24"/>
          <w:szCs w:val="24"/>
        </w:rPr>
        <w:t xml:space="preserve"> time windows for EVs. The main </w:t>
      </w:r>
      <w:r w:rsidRPr="005D04CF">
        <w:rPr>
          <w:rFonts w:ascii="Times New Roman" w:hAnsi="Times New Roman" w:cs="Times New Roman"/>
          <w:sz w:val="24"/>
          <w:szCs w:val="24"/>
        </w:rPr>
        <w:t>contribution of the authors was considering the variability of th</w:t>
      </w:r>
      <w:r>
        <w:rPr>
          <w:rFonts w:ascii="Times New Roman" w:hAnsi="Times New Roman" w:cs="Times New Roman"/>
          <w:sz w:val="24"/>
          <w:szCs w:val="24"/>
        </w:rPr>
        <w:t xml:space="preserve">e range of EVs. In the segments </w:t>
      </w:r>
      <w:r w:rsidRPr="005D04CF">
        <w:rPr>
          <w:rFonts w:ascii="Times New Roman" w:hAnsi="Times New Roman" w:cs="Times New Roman"/>
          <w:sz w:val="24"/>
          <w:szCs w:val="24"/>
        </w:rPr>
        <w:t>of small vans, EVs are often the most competitive technology</w:t>
      </w:r>
      <w:r>
        <w:rPr>
          <w:rFonts w:ascii="Times New Roman" w:hAnsi="Times New Roman" w:cs="Times New Roman"/>
          <w:sz w:val="24"/>
          <w:szCs w:val="24"/>
        </w:rPr>
        <w:t xml:space="preserve">. In the segment of large vans, </w:t>
      </w:r>
      <w:r w:rsidRPr="005D04CF">
        <w:rPr>
          <w:rFonts w:ascii="Times New Roman" w:hAnsi="Times New Roman" w:cs="Times New Roman"/>
          <w:sz w:val="24"/>
          <w:szCs w:val="24"/>
        </w:rPr>
        <w:t>diesel has seen the most interesting solution from a financial point of view as electric vehicles</w:t>
      </w:r>
      <w:r>
        <w:rPr>
          <w:rFonts w:ascii="Times New Roman" w:hAnsi="Times New Roman" w:cs="Times New Roman"/>
          <w:sz w:val="24"/>
          <w:szCs w:val="24"/>
        </w:rPr>
        <w:t xml:space="preserve"> </w:t>
      </w:r>
      <w:r w:rsidRPr="005D04CF">
        <w:rPr>
          <w:rFonts w:ascii="Times New Roman" w:hAnsi="Times New Roman" w:cs="Times New Roman"/>
          <w:sz w:val="24"/>
          <w:szCs w:val="24"/>
        </w:rPr>
        <w:t>would need to cover a longer distance to be cost-competitive</w:t>
      </w:r>
      <w:r>
        <w:rPr>
          <w:rFonts w:ascii="Times New Roman" w:hAnsi="Times New Roman" w:cs="Times New Roman"/>
          <w:sz w:val="24"/>
          <w:szCs w:val="24"/>
        </w:rPr>
        <w:t xml:space="preserve">. Hybrid vehicles are chosen in </w:t>
      </w:r>
      <w:r w:rsidRPr="005D04CF">
        <w:rPr>
          <w:rFonts w:ascii="Times New Roman" w:hAnsi="Times New Roman" w:cs="Times New Roman"/>
          <w:sz w:val="24"/>
          <w:szCs w:val="24"/>
        </w:rPr>
        <w:t>the segment of trucks as its running costs and fixed costs are lower than the diesel truck.</w:t>
      </w:r>
    </w:p>
    <w:p w:rsidR="00CF208D" w:rsidRPr="003E65FC" w:rsidRDefault="00C74B80" w:rsidP="00C74B80">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3.1</w:t>
      </w:r>
      <w:r w:rsidR="00CF208D">
        <w:rPr>
          <w:rFonts w:ascii="Times New Roman" w:hAnsi="Times New Roman" w:cs="Times New Roman"/>
          <w:b/>
          <w:sz w:val="28"/>
          <w:szCs w:val="24"/>
        </w:rPr>
        <w:t xml:space="preserve"> </w:t>
      </w:r>
      <w:r w:rsidR="00CF208D" w:rsidRPr="003E65FC">
        <w:rPr>
          <w:rFonts w:ascii="Times New Roman" w:hAnsi="Times New Roman" w:cs="Times New Roman"/>
          <w:b/>
          <w:sz w:val="28"/>
          <w:szCs w:val="24"/>
        </w:rPr>
        <w:t xml:space="preserve">THEORETICAL FRAMEWORK </w:t>
      </w:r>
    </w:p>
    <w:p w:rsidR="00A42F94" w:rsidRPr="00A42F94" w:rsidRDefault="00A42F94" w:rsidP="00C74B80">
      <w:pPr>
        <w:shd w:val="solid" w:color="FFFFFF" w:fill="auto"/>
        <w:autoSpaceDN w:val="0"/>
        <w:spacing w:after="197" w:line="360" w:lineRule="auto"/>
        <w:jc w:val="both"/>
        <w:rPr>
          <w:rFonts w:ascii="Times New Roman" w:hAnsi="Times New Roman" w:cs="Times New Roman"/>
          <w:color w:val="000000"/>
          <w:sz w:val="24"/>
          <w:szCs w:val="24"/>
          <w:shd w:val="clear" w:color="auto" w:fill="FFFFFF"/>
        </w:rPr>
      </w:pPr>
      <w:r w:rsidRPr="00A42F94">
        <w:rPr>
          <w:rFonts w:ascii="Times New Roman" w:hAnsi="Times New Roman" w:cs="Times New Roman"/>
          <w:color w:val="000000"/>
          <w:sz w:val="24"/>
          <w:szCs w:val="24"/>
          <w:shd w:val="clear" w:color="auto" w:fill="FFFFFF"/>
        </w:rPr>
        <w:t>Electric vehicles (EVs) represent a pivotal advancement in the realm of transportation, offering a cleaner, more sustainable alternative to traditional</w:t>
      </w:r>
      <w:r w:rsidR="002E0779" w:rsidRPr="00A42F94">
        <w:rPr>
          <w:rFonts w:ascii="Times New Roman" w:hAnsi="Times New Roman" w:cs="Times New Roman"/>
          <w:color w:val="000000"/>
          <w:sz w:val="24"/>
          <w:szCs w:val="24"/>
          <w:shd w:val="clear" w:color="auto" w:fill="FFFFFF"/>
        </w:rPr>
        <w:t xml:space="preserve"> Internal Combustion Engine</w:t>
      </w:r>
      <w:r w:rsidRPr="00A42F94">
        <w:rPr>
          <w:rFonts w:ascii="Times New Roman" w:hAnsi="Times New Roman" w:cs="Times New Roman"/>
          <w:color w:val="000000"/>
          <w:sz w:val="24"/>
          <w:szCs w:val="24"/>
          <w:shd w:val="clear" w:color="auto" w:fill="FFFFFF"/>
        </w:rPr>
        <w:t xml:space="preserve"> (ICE) vehicles. However, the widespread adoption of EVs hinges on a critical component of their ecosystem: charging infrastructure. In this discussion, we'll explore the paramount importance of charging infrastructure in enabling the broader acceptance and integration of electric vehicles into our daily lives.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AN OVERVIEW OF EV CHARGING INFRASTRUCTURE</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Electric </w:t>
      </w:r>
      <w:r w:rsidR="0022040C">
        <w:rPr>
          <w:rFonts w:ascii="Times New Roman" w:hAnsi="Times New Roman" w:cs="Times New Roman"/>
          <w:sz w:val="24"/>
          <w:szCs w:val="24"/>
        </w:rPr>
        <w:t>V</w:t>
      </w:r>
      <w:r w:rsidRPr="00A42F94">
        <w:rPr>
          <w:rFonts w:ascii="Times New Roman" w:hAnsi="Times New Roman" w:cs="Times New Roman"/>
          <w:sz w:val="24"/>
          <w:szCs w:val="24"/>
        </w:rPr>
        <w:t xml:space="preserve">ehicles (EV) can be charged in a variety of ways, depending on location and requirement. Accordingly, charging infrastructure for EVs is of different types and designed for different applications. Specifications and standards for EV chargers, also known as </w:t>
      </w:r>
      <w:r w:rsidR="0022040C" w:rsidRPr="00A42F94">
        <w:rPr>
          <w:rFonts w:ascii="Times New Roman" w:hAnsi="Times New Roman" w:cs="Times New Roman"/>
          <w:sz w:val="24"/>
          <w:szCs w:val="24"/>
        </w:rPr>
        <w:t>Electric Vehicle Supply Equipment</w:t>
      </w:r>
      <w:r w:rsidRPr="00A42F94">
        <w:rPr>
          <w:rFonts w:ascii="Times New Roman" w:hAnsi="Times New Roman" w:cs="Times New Roman"/>
          <w:sz w:val="24"/>
          <w:szCs w:val="24"/>
        </w:rPr>
        <w:t xml:space="preserve"> (EVSE), vary from one country to another, based on available EV models in the market and the characteristics of the electricity grid.</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CHARACTERISTICS OF EV SUPPLY EQUIPMENT</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Electric Vehicle Supply Equipment (EVSE) is the basic unit of EV charging infrastructure. The EVSE accesses power from the local electricity supply and utilizes a control system and wired connection to safely charge EVs. An EVSE control system enables various functions such as user authentication, authorization for charging, information recording and exchange for network management, and data privacy and security. It is recommended to use EVSEs with at least basic control and management functions, for all charging purposes. Conductive charging, or plug-in (wired) charging, is the mainstream charging technology in use. Requirements of EVSE for conductive charging depend on factors such as vehicle type, battery capacity, charging methods, and power ratings.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BATTERY SPECIFICATIONS OF DIFFERENT EV SEGMENTS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In India, transport electrification over the next decade is expected to be driven by </w:t>
      </w:r>
      <w:r w:rsidR="00F458A0" w:rsidRPr="00A42F94">
        <w:rPr>
          <w:rFonts w:ascii="Times New Roman" w:hAnsi="Times New Roman" w:cs="Times New Roman"/>
          <w:sz w:val="24"/>
          <w:szCs w:val="24"/>
        </w:rPr>
        <w:t>Light Electric Vehicles</w:t>
      </w:r>
      <w:r w:rsidRPr="00A42F94">
        <w:rPr>
          <w:rFonts w:ascii="Times New Roman" w:hAnsi="Times New Roman" w:cs="Times New Roman"/>
          <w:sz w:val="24"/>
          <w:szCs w:val="24"/>
        </w:rPr>
        <w:t xml:space="preserve"> (LEVs), comprising two-wheelers (scooters, motorcycles) and three-wheelers (passenger and cargo). Apart from these, cars and </w:t>
      </w:r>
      <w:r w:rsidR="00F458A0" w:rsidRPr="00A42F94">
        <w:rPr>
          <w:rFonts w:ascii="Times New Roman" w:hAnsi="Times New Roman" w:cs="Times New Roman"/>
          <w:sz w:val="24"/>
          <w:szCs w:val="24"/>
        </w:rPr>
        <w:t>Light Commercial Vehicles</w:t>
      </w:r>
      <w:r w:rsidRPr="00A42F94">
        <w:rPr>
          <w:rFonts w:ascii="Times New Roman" w:hAnsi="Times New Roman" w:cs="Times New Roman"/>
          <w:sz w:val="24"/>
          <w:szCs w:val="24"/>
        </w:rPr>
        <w:t xml:space="preserve"> (LCVs) are the other key vehicle segments being electrified. Electric buses will also be present in significant numbers but are not included in the scope of this handbook. </w:t>
      </w:r>
      <w:r w:rsidRPr="00A42F94">
        <w:rPr>
          <w:rFonts w:ascii="Times New Roman" w:hAnsi="Times New Roman" w:cs="Times New Roman"/>
          <w:sz w:val="24"/>
          <w:szCs w:val="24"/>
        </w:rPr>
        <w:lastRenderedPageBreak/>
        <w:t>VEHICLE SEGMENT BATTERY CAPACITY BATTERY VOLTAGE E-2W 1.2-3.3 kWh 48-72V E-3W (passenger/ goods) 3.6-8 kWh 48-60V E-cars (1st generation) 21 kWh 72V E-cars (2nd generation) 30-80 kWh 350-500V EV charging requirements depend on the specifications of EV batteries, as power must be supplied to the battery at the right voltage and current levels to permit charging. Typical capacity and voltage of EV batteries vary among the different EV segments, as shown in Table 1. E-2Ws and e-3Ws are powered by low-voltage batteries. The first generation of e-cars is also powered by low voltage batteries. However, these are likely to be phased out in the future, even if they continue in specific use cases such as taxis. The second generation of e-cars, as seen in the upcoming e-car models, is powered by high-voltage batteries. Electric LCVs will comprise of both low-voltage and high-voltage vehicles, depending on their load-carrying capacity.</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 xml:space="preserve">CHARGING METHODS AND POWER RATINGS </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EV charging involves supply of </w:t>
      </w:r>
      <w:r w:rsidR="009B3BAE" w:rsidRPr="00A42F94">
        <w:rPr>
          <w:rFonts w:ascii="Times New Roman" w:hAnsi="Times New Roman" w:cs="Times New Roman"/>
          <w:sz w:val="24"/>
          <w:szCs w:val="24"/>
        </w:rPr>
        <w:t>Direct Current</w:t>
      </w:r>
      <w:r w:rsidRPr="00A42F94">
        <w:rPr>
          <w:rFonts w:ascii="Times New Roman" w:hAnsi="Times New Roman" w:cs="Times New Roman"/>
          <w:sz w:val="24"/>
          <w:szCs w:val="24"/>
        </w:rPr>
        <w:t xml:space="preserve"> (DC) to the battery pack. As electricity distribution systems supply </w:t>
      </w:r>
      <w:r w:rsidR="009B3BAE" w:rsidRPr="00A42F94">
        <w:rPr>
          <w:rFonts w:ascii="Times New Roman" w:hAnsi="Times New Roman" w:cs="Times New Roman"/>
          <w:sz w:val="24"/>
          <w:szCs w:val="24"/>
        </w:rPr>
        <w:t>Alternate Current</w:t>
      </w:r>
      <w:r w:rsidRPr="00A42F94">
        <w:rPr>
          <w:rFonts w:ascii="Times New Roman" w:hAnsi="Times New Roman" w:cs="Times New Roman"/>
          <w:sz w:val="24"/>
          <w:szCs w:val="24"/>
        </w:rPr>
        <w:t xml:space="preserve"> (AC) power, a converter is required to provide DC power to the battery. Conductive charging can be AC or DC. In the case of an AC EVSE, the AC power is delivered to the onboard charger of the EV, which converts it to DC. A DC EVSE converts the power externally and supplies DC power directly to the battery, bypassing the onboard charger. AC and DC charging are further classified into four charging modes, with Modes 1-3 pertaining to AC charging and Mode 4 pertaining to DC charging.</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 xml:space="preserve">POWER RATINGS </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EVSEs have different power ratings or levels based on charging requirements, which in turn determine the input power requirements for charging infrastructure. Table 2 categorizes EV charging by power level, with normal power charging going up to 22kW and high power charging going up to 200kW. While EVSEs with power ratings up to 500kW are globally available, they are largely applicable for heavy vehicles like buses and trucks. Normal power AC charging is adequate for e-2Ws, e-3Ws and e-cars. Normal power DC charging is unique to India, due to the prevalence of LEVs, and the use of low-voltage batteries in e-cars. Single-phase AC chargers, with a maximum power rating of 7kW, are adequate for LEVs and cars with single phase on-board chargers. Three-phase AC chargers, with a power rating up to 22kW, are required for </w:t>
      </w:r>
      <w:r w:rsidRPr="00A42F94">
        <w:rPr>
          <w:rFonts w:ascii="Times New Roman" w:hAnsi="Times New Roman" w:cs="Times New Roman"/>
          <w:sz w:val="24"/>
          <w:szCs w:val="24"/>
        </w:rPr>
        <w:lastRenderedPageBreak/>
        <w:t>e-cars with larger onboard chargers. Input power supply for normal power charging can be provided from the standard electricity distribution network. For high-voltage e-cars with battery capacities between 30-80kWh, high-power DC charging of 50kW is used. The power level of DC chargers in the market ranges between 25kW and 60kW. However higher powered DC chargers will be available in the near future. While high-power DC charging takes less time for e-cars, it requires higher electricity supply with additional infrastructure. Normal power charging points are therefore adequate for most charging requirements, including slow or overnight charging of e-cars.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BATTERY SWAPPING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An alternative battery recharging method that is receiving global attention is battery swapping, in which a depleted EV battery is removed from the vehicle and replaced with a fully charged one. The technology is being tried out for various EV segments, including e-2Ws, e-3Ws, e-cars and even e-buses.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TYPES OF BATTERY SWAPPING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Manual: The battery swapping station is a standalone device, in which batteries are placed and removed manually from the individual slots, usually by hand. Manual swapping stations are modular and occupy a minimal amount of space. These are used for 2W and 3W battery applications, as the battery pack sizes are smaller and the weight can be handled by one or two persons. </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Autonomous: A robotic arm is used in these types of swapping stations with the battery swapping process being semi/fully automated. Robotic swapping is used for 4W and e-bus applications as battery packs are larger and heavier, and require mechanical assistance. These swapping stations are also more expensive and have a higher land requirement.</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EV CHARGING STANDARDS FOR INTEROPERABILITY</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Standards ensure interoperability and compatibility of any EVSE with all EVs. The Bureau of Indian Standards (BIS), the national standards body of India, is responsible for formulating EV charging standards for the country. BIS is a member of the International Electrotechnical Commission (IEC), which is the global body that is developing reference standards to ensure interoperability and minimize trade barriers for electric vehicles and their components. While Indian standards for EV charging are compliant with global standards, local climate considerations and the difference in </w:t>
      </w:r>
      <w:r w:rsidRPr="00A42F94">
        <w:rPr>
          <w:rFonts w:ascii="Times New Roman" w:hAnsi="Times New Roman" w:cs="Times New Roman"/>
          <w:sz w:val="24"/>
          <w:szCs w:val="24"/>
        </w:rPr>
        <w:lastRenderedPageBreak/>
        <w:t>vehicle types available in the country necessitate modifications that are specifically applicable to India.</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 xml:space="preserve">INDIAN STANDARDS FOR AC CHARGING </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IS 17017 is the key EV charging standard in India comprising three parts and six sections. IS-17017- Part-1 provides the basic features of all EV charging systems. An AC EVSE must adhere to this standard, and specific AC connector standards in the IS-17017-Part-2. Both AC and DC EVSE need to conform to the technical standards IS-17017-Parts 21 &amp; 22. Additional Indian standards for AC EVSEs have been approved for light EVs and e-cars (in the form of lowcost charging points), for use in parking areas.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INDIAN STANDARDS FOR DC CHARGING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IS-17017-Part-23 describes the requirements for DC charging stations, with power output of 50kW to 200kW. Beyond this, high power charging standards are required to cater to buses and other heavy vehicles. Recently, the BIS has finalized the IS-17017-Part-25, which is specifically for providing low DC power of less than 7kW for light EVs. Due to the requirement of digital communications between the DC EVSE and the EV, data communication standards are specified in IS-17017-Part 24. When the Combined Charging System (CCS) standard is deployed, which can provide both AC and DC charging, communications will be as per the IS-15118 series.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INDIAN STANDARDS FOR BATTERY SWAPPING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Separate projects have been initiated for battery swapping standards for LEVs and buses. They will be two series of standards documents, covering the form factor of the battery pack, inter-operable connection systems, communication between the </w:t>
      </w:r>
      <w:r w:rsidR="00D33908" w:rsidRPr="00A42F94">
        <w:rPr>
          <w:rFonts w:ascii="Times New Roman" w:hAnsi="Times New Roman" w:cs="Times New Roman"/>
          <w:sz w:val="24"/>
          <w:szCs w:val="24"/>
        </w:rPr>
        <w:t>Battery Management System</w:t>
      </w:r>
      <w:r w:rsidRPr="00A42F94">
        <w:rPr>
          <w:rFonts w:ascii="Times New Roman" w:hAnsi="Times New Roman" w:cs="Times New Roman"/>
          <w:sz w:val="24"/>
          <w:szCs w:val="24"/>
        </w:rPr>
        <w:t xml:space="preserve"> (BMS) and the EV and charging station, and network management. Any EV may utilize a battery pack conforming to these standards. The removable battery packs can be charged using AC or DC charging systems. The BIS is yet to develop Indian standards for EV roaming and grid-related management functions.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FROM CHARGING STATIONS TO CHARGING POINTS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Charging stations refer to high-power EVSE, typically Mode 3 or Mode 4 charging, often with multiple charging guns. Charging points refer to normal power EVSE that can be accessed by a portable charging cable. While the initial deployment of public charging infrastructure in India focused on charging stations, it is increasingly evident </w:t>
      </w:r>
      <w:r w:rsidRPr="00A42F94">
        <w:rPr>
          <w:rFonts w:ascii="Times New Roman" w:hAnsi="Times New Roman" w:cs="Times New Roman"/>
          <w:sz w:val="24"/>
          <w:szCs w:val="24"/>
        </w:rPr>
        <w:lastRenderedPageBreak/>
        <w:t>that most public charging needs can be served by a densely distributed network of charging points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An EV charging network comprising many normal powered charging points is preferable to one with limited high-power charging stations. For EVs, any parking location where the vehicle is stationary, and which has access to an EV charging point, can be an opportunity to recharge the vehicle battery. This is also known as destination charging, as opposed to “on the-go charging” in which vehicles rapidly top up their battery charge to drive onwards to their destinations. Therefore, EV charging infrastructure should be provided in locations where vehicles are parked on a regular basis, rather than carving out new locations for EV charging hubs. This approach to charging infrastructure implementation promotes a distributed network of EV charging points for users to plug into at various locations - at residences, apartment buildings, office campuses, shopping malls, metro and railway stations, bus depots, etc. Such a distributed network approach has multiple advantages for users and operators, ranging from ease of access to financial viability.</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USE OF NORMAL POWER CHARGING POINTS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A dense network of normal-power EV charging points reduces the need for high power and ultra-high power charging points, which are more expensive and can be detrimental to EV battery health if over-used.</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COST-EFFICIENCY OF CHARGING INFRASTRUCTURE</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Normal power charging points are not only less expensive, but they also require less electricity and less space, which further reduces capital costs. They can be connected to low-voltage single- and three phase distribution networks, which are widely available in buildings and public spaces.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FINANCIAL VIABILITY OF EV CHARGING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Lowering the upfront costs of setting up charging infrastructure reduces the need for government subsidies and improves the viability of private sector participation in charging operations. An efficient rollout of EV charging infrastructure for a young EV market needs to focus more on increasing the number of accessible charging points. The distributed provision of many normal power charging points, supplemented by a small share of high-power charging stations, can ensure that EV charging needs are efficiently met.</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lastRenderedPageBreak/>
        <w:t>CLASSIFICATION OF EV CHARGING INFRASTRUCTURE</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PRIVATE CHARGING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Usage: Dedicated charging for personal EV or EV fleet owned by one entity</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Locations: Independent homes, dedicated parking sports in apartments and areas land availability</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Ownership: Individual EV owners, EV fleet owners/ operators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Operation: Self-operated or CPO-managed (for EV fleet charging)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SEMI-PUBLIC CHARGING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Usage: Shared charging for a restricted set of EV users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Locations: Apartment complexes, office campuses, gated communities, shopping malls, hospitals, universities, government buildings, etc</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Ownership: Host properties, Orginal Equipment Manufacturers (OEMs) &amp; Charge Point Operators (CPOs) </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Operation: CPO-managed</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PUBLIC CHARGING</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Usage: Open for all EV users </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Locations: Public parking lots, on-street parking, charging plazas, petrol pumps, highways, metro stations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 Ownership: Municipal authorities, PSUs, CPOs, host properties </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Operation: CPO-managed</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These are not fixed categories and some charging facilities may demonstrate hybrid characteristics. For instance, charging infrastructure owned by EV fleet owners/operators for captive use is considered private, but it can be opened to the public as a paid charging service when fleets are in circulation. EV charging infrastructure at bus depots or metro station parking may be semi-public or public, depending on whether they are open only for transit users or for all EV users.</w:t>
      </w:r>
    </w:p>
    <w:p w:rsidR="00A42F94" w:rsidRPr="00A42F94" w:rsidRDefault="00A42F94" w:rsidP="00C74B80">
      <w:pPr>
        <w:spacing w:after="0" w:line="360" w:lineRule="auto"/>
        <w:jc w:val="both"/>
        <w:rPr>
          <w:rFonts w:ascii="Times New Roman" w:hAnsi="Times New Roman" w:cs="Times New Roman"/>
          <w:b/>
          <w:bCs/>
          <w:sz w:val="24"/>
          <w:szCs w:val="24"/>
        </w:rPr>
      </w:pPr>
      <w:r w:rsidRPr="00A42F94">
        <w:rPr>
          <w:rFonts w:ascii="Times New Roman" w:hAnsi="Times New Roman" w:cs="Times New Roman"/>
          <w:b/>
          <w:bCs/>
          <w:sz w:val="24"/>
          <w:szCs w:val="24"/>
        </w:rPr>
        <w:t>CHALLENGES AND HINDERING OF EV ADOPTION IN INDIA</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The shift towards </w:t>
      </w:r>
      <w:r w:rsidR="00654C84" w:rsidRPr="00A42F94">
        <w:rPr>
          <w:rFonts w:ascii="Times New Roman" w:hAnsi="Times New Roman" w:cs="Times New Roman"/>
          <w:sz w:val="24"/>
          <w:szCs w:val="24"/>
        </w:rPr>
        <w:t>Electric Vehicles</w:t>
      </w:r>
      <w:r w:rsidRPr="00A42F94">
        <w:rPr>
          <w:rFonts w:ascii="Times New Roman" w:hAnsi="Times New Roman" w:cs="Times New Roman"/>
          <w:sz w:val="24"/>
          <w:szCs w:val="24"/>
        </w:rPr>
        <w:t xml:space="preserve"> (EVs) is essential for addressing the challenges posed by climate change and achieving sustainable transportation systems. In India, as a rapidly developing economy with a significant transportation sector, the adoption of EVs is of utmost importance. Developing nations lag behind their developed counterparts in promoting </w:t>
      </w:r>
      <w:r w:rsidR="007D5AB1" w:rsidRPr="00A42F94">
        <w:rPr>
          <w:rFonts w:ascii="Times New Roman" w:hAnsi="Times New Roman" w:cs="Times New Roman"/>
          <w:sz w:val="24"/>
          <w:szCs w:val="24"/>
        </w:rPr>
        <w:t>Electric Vehicles</w:t>
      </w:r>
      <w:r w:rsidRPr="00A42F94">
        <w:rPr>
          <w:rFonts w:ascii="Times New Roman" w:hAnsi="Times New Roman" w:cs="Times New Roman"/>
          <w:sz w:val="24"/>
          <w:szCs w:val="24"/>
        </w:rPr>
        <w:t xml:space="preserve"> (EVs), despite often grappling with more </w:t>
      </w:r>
      <w:r w:rsidRPr="00A42F94">
        <w:rPr>
          <w:rFonts w:ascii="Times New Roman" w:hAnsi="Times New Roman" w:cs="Times New Roman"/>
          <w:sz w:val="24"/>
          <w:szCs w:val="24"/>
        </w:rPr>
        <w:lastRenderedPageBreak/>
        <w:t xml:space="preserve">severe pollution issues, particularly concerning urban air quality. With China being a notable exception, a distinct divide exists between developed and developing countries in the adoption of EVs. This division underscores the necessity for enhanced and coordinated global responses to environmental challenges. While issues like urban air quality are predominantly local, </w:t>
      </w:r>
      <w:r w:rsidR="00D95CFE" w:rsidRPr="00A42F94">
        <w:rPr>
          <w:rFonts w:ascii="Times New Roman" w:hAnsi="Times New Roman" w:cs="Times New Roman"/>
          <w:sz w:val="24"/>
          <w:szCs w:val="24"/>
        </w:rPr>
        <w:t>Greenhouse Gas</w:t>
      </w:r>
      <w:r w:rsidRPr="00A42F94">
        <w:rPr>
          <w:rFonts w:ascii="Times New Roman" w:hAnsi="Times New Roman" w:cs="Times New Roman"/>
          <w:sz w:val="24"/>
          <w:szCs w:val="24"/>
        </w:rPr>
        <w:t xml:space="preserve"> (GHG) emissions impact climate change globally, irrespective of their origin. Therefore, it is imperative to involve developing countries in efforts to reduce pollution, including the adoption of EVs. A fundamental initial step toward promoting EVs in developing nations involves understanding the factors influencing EV adoption in those specific regions.</w:t>
      </w:r>
    </w:p>
    <w:p w:rsidR="00A42F94" w:rsidRPr="00A42F94" w:rsidRDefault="00A42F94" w:rsidP="00C74B80">
      <w:pPr>
        <w:spacing w:after="0" w:line="360" w:lineRule="auto"/>
        <w:jc w:val="both"/>
        <w:rPr>
          <w:rFonts w:ascii="Times New Roman" w:hAnsi="Times New Roman" w:cs="Times New Roman"/>
          <w:sz w:val="24"/>
          <w:szCs w:val="24"/>
        </w:rPr>
      </w:pPr>
      <w:r w:rsidRPr="00A42F94">
        <w:rPr>
          <w:rFonts w:ascii="Times New Roman" w:hAnsi="Times New Roman" w:cs="Times New Roman"/>
          <w:sz w:val="24"/>
          <w:szCs w:val="24"/>
        </w:rPr>
        <w:t xml:space="preserve">However, numerous barriers and challenges hinder the widespread deployment of EVs in the country. Additionally, the integration of vehicle-to-grid (V2G) technology presents optimization opportunities to enhance the energy ecosystem [3]. This paper provides a comprehensive review of the barriers and challenges faced by EVs in India, while also exploring the potential of V2G optimization. By examining the infrastructure limitations, range anxiety, high initial costs, battery technology, and consumer awareness, as well as the benefits of grid integration, energy management, demand response, and renewable energy integration, this paper seeks to shed light on the current state of EVs in India and propose strategies for their successful </w:t>
      </w:r>
      <w:r w:rsidR="000D5BD3" w:rsidRPr="00A42F94">
        <w:rPr>
          <w:rFonts w:ascii="Times New Roman" w:hAnsi="Times New Roman" w:cs="Times New Roman"/>
          <w:sz w:val="24"/>
          <w:szCs w:val="24"/>
        </w:rPr>
        <w:t>integration.</w:t>
      </w:r>
      <w:r w:rsidRPr="00A42F94">
        <w:rPr>
          <w:rFonts w:ascii="Times New Roman" w:hAnsi="Times New Roman" w:cs="Times New Roman"/>
          <w:sz w:val="24"/>
          <w:szCs w:val="24"/>
        </w:rPr>
        <w:t xml:space="preserve"> India faces several barriers and challenges when it comes to the adoption of </w:t>
      </w:r>
      <w:r w:rsidR="00A03141" w:rsidRPr="00A42F94">
        <w:rPr>
          <w:rFonts w:ascii="Times New Roman" w:hAnsi="Times New Roman" w:cs="Times New Roman"/>
          <w:sz w:val="24"/>
          <w:szCs w:val="24"/>
        </w:rPr>
        <w:t>Electric Vehicles</w:t>
      </w:r>
      <w:r w:rsidRPr="00A42F94">
        <w:rPr>
          <w:rFonts w:ascii="Times New Roman" w:hAnsi="Times New Roman" w:cs="Times New Roman"/>
          <w:sz w:val="24"/>
          <w:szCs w:val="24"/>
        </w:rPr>
        <w:t xml:space="preserve"> (EVs). An efficient approach to achieving high-speed DC fast charging at a reduced cost involves integrated EV charging. Integrated chargers utilize the EV's drivetrain components, such as power electronics, passive elements, and cooling systems, during parking for charging purposes. As these components are originally designed for high-power drive operations, they can be adapted for integrated AC level 1 charging, AC level 2 charging, or fast charging [5]. This integration has the potential to significantly decrease the costs associated with both on-board chargers and off-board charging stations by eliminating redundancy between the driving and charging systems. Intelligent vehicles are anticipated to play a role in a Vehicular Ad hoc NETwork (VANET), a mobile ad hoc network of cars designed to improve traffic safety and offer comfort applications to drivers. VANETs possess distinctive characteristics, including the high mobility of nodes, adherence to predefined routes by cars, messages from various applications with different priority levels, and operation in a high-interference, </w:t>
      </w:r>
      <w:r w:rsidRPr="00A42F94">
        <w:rPr>
          <w:rFonts w:ascii="Times New Roman" w:hAnsi="Times New Roman" w:cs="Times New Roman"/>
          <w:sz w:val="24"/>
          <w:szCs w:val="24"/>
        </w:rPr>
        <w:lastRenderedPageBreak/>
        <w:t xml:space="preserve">noisy </w:t>
      </w:r>
      <w:r w:rsidR="00AF7DF9" w:rsidRPr="00A42F94">
        <w:rPr>
          <w:rFonts w:ascii="Times New Roman" w:hAnsi="Times New Roman" w:cs="Times New Roman"/>
          <w:sz w:val="24"/>
          <w:szCs w:val="24"/>
        </w:rPr>
        <w:t>environment.</w:t>
      </w:r>
      <w:r w:rsidRPr="00A42F94">
        <w:rPr>
          <w:rFonts w:ascii="Times New Roman" w:hAnsi="Times New Roman" w:cs="Times New Roman"/>
          <w:sz w:val="24"/>
          <w:szCs w:val="24"/>
        </w:rPr>
        <w:t xml:space="preserve"> Through on-board units, vehicles can communicate with each other and with </w:t>
      </w:r>
      <w:r w:rsidR="00AF7DF9" w:rsidRPr="00A42F94">
        <w:rPr>
          <w:rFonts w:ascii="Times New Roman" w:hAnsi="Times New Roman" w:cs="Times New Roman"/>
          <w:sz w:val="24"/>
          <w:szCs w:val="24"/>
        </w:rPr>
        <w:t>Roadside Units</w:t>
      </w:r>
      <w:r w:rsidRPr="00A42F94">
        <w:rPr>
          <w:rFonts w:ascii="Times New Roman" w:hAnsi="Times New Roman" w:cs="Times New Roman"/>
          <w:sz w:val="24"/>
          <w:szCs w:val="24"/>
        </w:rPr>
        <w:t xml:space="preserve"> (RSUs), enabling smart application solutions and contributing to enhanced road safety and traffic management. As outlined in various studies, such as, smart vehicles typically demonstrate five features: self- driving, safety driving, social driving, electric vehicles, and mobile applications.</w:t>
      </w:r>
    </w:p>
    <w:p w:rsidR="00EA2A3A" w:rsidRDefault="00EA2A3A" w:rsidP="00C74B80">
      <w:pPr>
        <w:spacing w:after="0" w:line="360" w:lineRule="auto"/>
        <w:jc w:val="both"/>
        <w:rPr>
          <w:rFonts w:ascii="Times New Roman" w:hAnsi="Times New Roman"/>
          <w:b/>
          <w:color w:val="000000" w:themeColor="text1"/>
          <w:sz w:val="28"/>
          <w:szCs w:val="24"/>
        </w:rPr>
      </w:pPr>
      <w:r>
        <w:rPr>
          <w:rFonts w:ascii="Times New Roman" w:hAnsi="Times New Roman"/>
          <w:b/>
          <w:color w:val="000000" w:themeColor="text1"/>
          <w:sz w:val="28"/>
          <w:szCs w:val="24"/>
        </w:rPr>
        <w:t xml:space="preserve">INDUSTRY PROFILE </w:t>
      </w:r>
    </w:p>
    <w:p w:rsidR="00EA2A3A" w:rsidRPr="00823B1A" w:rsidRDefault="00EA2A3A" w:rsidP="00304B5A">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The electric vehicles industry at a nascent stage in India. It is less than 1% of the total vehicle sales however has the potential to grow to more than 5% in a few years. At present there are more than 5 lac electric two-wheelers and few thousand electric cars on Indian roads. The industry volumes have been fluctuating, mostly depending on the incentives offered by the government. Many serious players (Hero Eco, Ather, Electrotherm, Avon, Lohia, Ampere, etc) are continuing with the mission and trying to enforce the positive change under the banner of SMEV.</w:t>
      </w:r>
    </w:p>
    <w:p w:rsidR="00EA2A3A" w:rsidRPr="00823B1A" w:rsidRDefault="00EA2A3A" w:rsidP="005B4851">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More than 90% of electric vehicles on Indian roads are low-speed electric scooters (less than 25km/hr) that do not require registration and licenses. Almost all electric scooters run on lead batteries to keep the prices low, however, battery failures and low life of batteries have become major limiting factors for sales besides government subsidies. Many manufacturers have taken initiatives to install the charging station with limited success. Players like Lohia and Electrotherm have developed Electric three-wheelers. Ampere and Hero have entered Electric Cycles segments. There are numbers of E-Rickshaw players mushrooming across the country and selling good numbers of E rickshaw for last-mile connectivity.</w:t>
      </w:r>
    </w:p>
    <w:p w:rsidR="00C74B80" w:rsidRDefault="00EA2A3A" w:rsidP="005B4851">
      <w:pPr>
        <w:spacing w:after="0"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The Industry is almost ready for take-off but for the incentives. It is expected that with FAME-2 the Industry may witness a quantum leap in volumes and technology. SMEV sees a great opportunity with EVs in reducing the Carbon footprint, dependence on Crude oil imports, creating jobs and building a new Technology knowledge hub in India.</w:t>
      </w:r>
    </w:p>
    <w:p w:rsidR="00EA2A3A" w:rsidRPr="00823B1A" w:rsidRDefault="00EA2A3A" w:rsidP="005B4851">
      <w:pPr>
        <w:spacing w:after="0" w:line="360" w:lineRule="auto"/>
        <w:jc w:val="both"/>
        <w:rPr>
          <w:rFonts w:ascii="Times New Roman" w:eastAsia="Times New Roman" w:hAnsi="Times New Roman"/>
          <w:b/>
          <w:bCs/>
          <w:sz w:val="24"/>
          <w:szCs w:val="24"/>
          <w:lang w:bidi="ml-IN"/>
        </w:rPr>
      </w:pPr>
      <w:r w:rsidRPr="00823B1A">
        <w:rPr>
          <w:rFonts w:ascii="Times New Roman" w:eastAsia="Times New Roman" w:hAnsi="Times New Roman"/>
          <w:b/>
          <w:bCs/>
          <w:sz w:val="24"/>
          <w:szCs w:val="24"/>
          <w:lang w:bidi="ml-IN"/>
        </w:rPr>
        <w:t>Electric vehicle industry in India: Growth targets</w:t>
      </w:r>
    </w:p>
    <w:p w:rsidR="00EA2A3A" w:rsidRPr="00823B1A" w:rsidRDefault="00EA2A3A" w:rsidP="005B4851">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 xml:space="preserve">The Indian automotive market is slated to be the third largest by 2030 in terms of volume. Catering to a vast domestic market, reliance on the conventional modes of fuel </w:t>
      </w:r>
      <w:r w:rsidRPr="00823B1A">
        <w:rPr>
          <w:rFonts w:ascii="Times New Roman" w:eastAsia="Times New Roman" w:hAnsi="Times New Roman"/>
          <w:sz w:val="24"/>
          <w:szCs w:val="24"/>
          <w:lang w:bidi="ml-IN"/>
        </w:rPr>
        <w:lastRenderedPageBreak/>
        <w:t>intensive mobility will not be sustainable. In an effort to address this, federal policymakers are developing a mobility option that is “Shared, Connected, and Electric” and have projected an ambitious target of achieving 100 percent electrification by 2030.</w:t>
      </w:r>
    </w:p>
    <w:p w:rsidR="00EA2A3A" w:rsidRPr="00823B1A" w:rsidRDefault="00EA2A3A" w:rsidP="005B4851">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 xml:space="preserve">By making the shift towards </w:t>
      </w:r>
      <w:r w:rsidR="001B754A" w:rsidRPr="00823B1A">
        <w:rPr>
          <w:rFonts w:ascii="Times New Roman" w:eastAsia="Times New Roman" w:hAnsi="Times New Roman"/>
          <w:sz w:val="24"/>
          <w:szCs w:val="24"/>
          <w:lang w:bidi="ml-IN"/>
        </w:rPr>
        <w:t>Electric Vehicles</w:t>
      </w:r>
      <w:r w:rsidRPr="00823B1A">
        <w:rPr>
          <w:rFonts w:ascii="Times New Roman" w:eastAsia="Times New Roman" w:hAnsi="Times New Roman"/>
          <w:sz w:val="24"/>
          <w:szCs w:val="24"/>
          <w:lang w:bidi="ml-IN"/>
        </w:rPr>
        <w:t xml:space="preserve"> (EVs), India stands to benefit on many fronts: it has a relative abundance of renewable energy resources and availability of skilled manpower in the techno</w:t>
      </w:r>
      <w:r w:rsidR="00304B5A">
        <w:rPr>
          <w:rFonts w:ascii="Times New Roman" w:eastAsia="Times New Roman" w:hAnsi="Times New Roman"/>
          <w:sz w:val="24"/>
          <w:szCs w:val="24"/>
          <w:lang w:bidi="ml-IN"/>
        </w:rPr>
        <w:t xml:space="preserve">logy and manufacturing sectors. </w:t>
      </w:r>
      <w:r w:rsidRPr="00823B1A">
        <w:rPr>
          <w:rFonts w:ascii="Times New Roman" w:eastAsia="Times New Roman" w:hAnsi="Times New Roman"/>
          <w:sz w:val="24"/>
          <w:szCs w:val="24"/>
          <w:lang w:bidi="ml-IN"/>
        </w:rPr>
        <w:t>According to an independent study by CEEW Centre for Energy Finance (CEEW-CEF), the EV market in India will be a US$206 billion opportunity by 2030 if India maintains steady progress to meet its ambitious 2030 target. This would require a cumulative investment of over US$180 billion in vehicle production and charging infrastructure. In 2021, the Indian EV industry attracted US$6 billion in investment and is becoming steadily more attractive to private equity/venture capital investors.</w:t>
      </w:r>
    </w:p>
    <w:p w:rsidR="00EA2A3A" w:rsidRPr="00823B1A" w:rsidRDefault="00EA2A3A" w:rsidP="005B4851">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Another report by India Energy Storage Alliance (IESA) projects that the Indian EV market will grow at a CAGR of 36 percent till 2026. The EV battery market is also projected to grow at a CAGR of 30 percent during the same period. Meanwhile, India’s EV market is estimated to grow at 49 percent CAGR in the 2022-2030 period in a business as usual scenario as per the IESA report. Overall, by 2030, the EV industry is set to create 10 million direct jobs and 50 million indirect jobs (IVCA-EY-Induslaw report). India is also witnessing the rise of a sizeable EV financing market, with Niti Aayog projecting it to be worth US$50 billion by 2030.</w:t>
      </w:r>
    </w:p>
    <w:p w:rsidR="00304B5A" w:rsidRPr="00823B1A" w:rsidRDefault="00EA2A3A" w:rsidP="005B4851">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Launch of ‘e-AMRIT’ portal: One-stop platform for informatio</w:t>
      </w:r>
      <w:r w:rsidR="00304B5A">
        <w:rPr>
          <w:rFonts w:ascii="Times New Roman" w:eastAsia="Times New Roman" w:hAnsi="Times New Roman"/>
          <w:sz w:val="24"/>
          <w:szCs w:val="24"/>
          <w:lang w:bidi="ml-IN"/>
        </w:rPr>
        <w:t xml:space="preserve">n on electric vehicles </w:t>
      </w:r>
      <w:r w:rsidRPr="00823B1A">
        <w:rPr>
          <w:rFonts w:ascii="Times New Roman" w:eastAsia="Times New Roman" w:hAnsi="Times New Roman"/>
          <w:sz w:val="24"/>
          <w:szCs w:val="24"/>
          <w:lang w:bidi="ml-IN"/>
        </w:rPr>
        <w:t xml:space="preserve">India rolled out the website e-AMRIT – https://www.e-amrit.niti.gov.in/ – at the COP26 Summit in Glasgow, which will function as a one-stop destination for all information on electric vehicles. It addresses key concerns about the adoption of EVs and their purchase – such as charging facility locations and EV financing options as well as information about investment opportunities, government policies, and available subsidies for drivers and manufacturers. </w:t>
      </w:r>
    </w:p>
    <w:p w:rsidR="00EA2A3A" w:rsidRPr="00823B1A" w:rsidRDefault="00EA2A3A" w:rsidP="005B4851">
      <w:pPr>
        <w:spacing w:after="100" w:afterAutospacing="1" w:line="360" w:lineRule="auto"/>
        <w:jc w:val="both"/>
        <w:rPr>
          <w:rFonts w:ascii="Times New Roman" w:eastAsia="Times New Roman" w:hAnsi="Times New Roman"/>
          <w:b/>
          <w:bCs/>
          <w:sz w:val="24"/>
          <w:szCs w:val="24"/>
          <w:lang w:bidi="ml-IN"/>
        </w:rPr>
      </w:pPr>
      <w:r w:rsidRPr="00823B1A">
        <w:rPr>
          <w:rFonts w:ascii="Times New Roman" w:eastAsia="Times New Roman" w:hAnsi="Times New Roman"/>
          <w:b/>
          <w:bCs/>
          <w:sz w:val="24"/>
          <w:szCs w:val="24"/>
          <w:lang w:bidi="ml-IN"/>
        </w:rPr>
        <w:t>Existing EV ecosystem in India and investment outlook</w:t>
      </w:r>
    </w:p>
    <w:p w:rsidR="00EA2A3A" w:rsidRPr="00823B1A" w:rsidRDefault="00EA2A3A" w:rsidP="005B4851">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lastRenderedPageBreak/>
        <w:t>Regardless of the country’s ambitious targets, India’s EV space is at a nascent stage. However, looking at it differently – India offers the world’s largest untapped market, especially in the two-wheeler segment. 100 percent foreign direct investment is allowed in this sector under the automatic route.</w:t>
      </w:r>
    </w:p>
    <w:p w:rsidR="00EA2A3A" w:rsidRPr="00823B1A" w:rsidRDefault="00EA2A3A" w:rsidP="005B4851">
      <w:pPr>
        <w:spacing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 xml:space="preserve">The federal government is also prioritizing the shift towards clean mobility, and recent moves to amend the Faster Adoption and Manufacturing of Hybrid and Electric Vehicles in India (FAME) II scheme to make electric two-wheelers more affordable, is a case in point. Under the phase two of the FAME scheme, as on July 11, 2022, about 469,315 electric vehicles were supported through demand incentives amounting to about INR 18.69 billion. Approvals have been granted to 6,315 electrical buses and 2,877 EV charging stations sanctioned in 68 cities across 25 states/Union Territories. 50 </w:t>
      </w:r>
      <w:r w:rsidR="001B754A" w:rsidRPr="00823B1A">
        <w:rPr>
          <w:rFonts w:ascii="Times New Roman" w:eastAsia="Times New Roman" w:hAnsi="Times New Roman"/>
          <w:sz w:val="24"/>
          <w:szCs w:val="24"/>
          <w:lang w:bidi="ml-IN"/>
        </w:rPr>
        <w:t>Original Equipment Manufacturers</w:t>
      </w:r>
      <w:r w:rsidRPr="00823B1A">
        <w:rPr>
          <w:rFonts w:ascii="Times New Roman" w:eastAsia="Times New Roman" w:hAnsi="Times New Roman"/>
          <w:sz w:val="24"/>
          <w:szCs w:val="24"/>
          <w:lang w:bidi="ml-IN"/>
        </w:rPr>
        <w:t xml:space="preserve"> (OEMs), both start-ups and established manufacturers, have registered and revalidated their 106 EV models. There are 1,576 charging stations sanctioned for set-up across nine expressways and 16 highways.</w:t>
      </w:r>
    </w:p>
    <w:p w:rsidR="00EA2A3A" w:rsidRDefault="00EA2A3A" w:rsidP="00C74B80">
      <w:pPr>
        <w:spacing w:before="100" w:beforeAutospacing="1" w:after="0"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In addition, multiple production-linked incentive schemes intend to create a local manufacturing ecosystem to support goals around greater adoption of electric mobility transport. This is sought to be achieved by incentivizing fresh investments into developing indigenous supply chains for key technologies, products, and auto components.</w:t>
      </w:r>
    </w:p>
    <w:p w:rsidR="00EA2A3A" w:rsidRPr="00823B1A" w:rsidRDefault="00EA2A3A" w:rsidP="00C74B80">
      <w:pPr>
        <w:spacing w:before="100" w:beforeAutospacing="1" w:after="0" w:line="360" w:lineRule="auto"/>
        <w:jc w:val="both"/>
        <w:rPr>
          <w:rFonts w:ascii="Times New Roman" w:eastAsia="Times New Roman" w:hAnsi="Times New Roman"/>
          <w:b/>
          <w:bCs/>
          <w:sz w:val="24"/>
          <w:szCs w:val="24"/>
          <w:lang w:bidi="ml-IN"/>
        </w:rPr>
      </w:pPr>
      <w:r w:rsidRPr="00823B1A">
        <w:rPr>
          <w:rFonts w:ascii="Times New Roman" w:eastAsia="Times New Roman" w:hAnsi="Times New Roman"/>
          <w:b/>
          <w:bCs/>
          <w:sz w:val="24"/>
          <w:szCs w:val="24"/>
          <w:lang w:bidi="ml-IN"/>
        </w:rPr>
        <w:t>Production-linked incentive schemes</w:t>
      </w:r>
    </w:p>
    <w:p w:rsidR="00EA2A3A" w:rsidRPr="00823B1A" w:rsidRDefault="00EA2A3A" w:rsidP="00C74B80">
      <w:pPr>
        <w:spacing w:before="100" w:beforeAutospacing="1" w:after="0"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In May 2021, the government rolled out a Production-Linked Incentive Scheme (PLI) for ACC Battery Storage Manufacturing, which will incentivize the domestic production of such batteries and reduce the dependence on imports. This will support the EV industry with the requisite infrastructure and will significantly cause a reduction in cost of EVs.</w:t>
      </w:r>
    </w:p>
    <w:p w:rsidR="00EA2A3A" w:rsidRPr="00823B1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 xml:space="preserve">On September 15, 2021, the government approved a PLI Scheme for the automobile and drone industry, which intends to incentivize high value advanced automotive </w:t>
      </w:r>
      <w:r w:rsidRPr="00823B1A">
        <w:rPr>
          <w:rFonts w:ascii="Times New Roman" w:eastAsia="Times New Roman" w:hAnsi="Times New Roman"/>
          <w:sz w:val="24"/>
          <w:szCs w:val="24"/>
          <w:lang w:bidi="ml-IN"/>
        </w:rPr>
        <w:lastRenderedPageBreak/>
        <w:t>technology vehicles and products, including ‘green automotive manufacturing’ (see Cabinet press release here).</w:t>
      </w:r>
    </w:p>
    <w:p w:rsidR="00EA2A3A" w:rsidRPr="00823B1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The PLI Scheme for the auto sector is open to existing automotive companies as well as new investors who are currently not in the automobile or auto component manufacturing business. The scheme has two components:</w:t>
      </w:r>
    </w:p>
    <w:p w:rsidR="00EA2A3A" w:rsidRPr="00823B1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i) Champion OEM Incentive Scheme: This is a ‘sales value linked’ scheme, applicable on battery electric vehicles, and hydrogen fuel cell vehicles of all segments.</w:t>
      </w:r>
    </w:p>
    <w:p w:rsidR="00EA2A3A" w:rsidRPr="00823B1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 xml:space="preserve">ii) Component Champion Incentive Scheme: This is a ‘sales value linked’ scheme, applicable on advanced automotive technology components of vehicles, </w:t>
      </w:r>
      <w:r w:rsidR="00926676" w:rsidRPr="00823B1A">
        <w:rPr>
          <w:rFonts w:ascii="Times New Roman" w:eastAsia="Times New Roman" w:hAnsi="Times New Roman"/>
          <w:sz w:val="24"/>
          <w:szCs w:val="24"/>
          <w:lang w:bidi="ml-IN"/>
        </w:rPr>
        <w:t xml:space="preserve">Completely Knocked Down </w:t>
      </w:r>
      <w:r w:rsidRPr="00823B1A">
        <w:rPr>
          <w:rFonts w:ascii="Times New Roman" w:eastAsia="Times New Roman" w:hAnsi="Times New Roman"/>
          <w:sz w:val="24"/>
          <w:szCs w:val="24"/>
          <w:lang w:bidi="ml-IN"/>
        </w:rPr>
        <w:t xml:space="preserve">(CKD)/ </w:t>
      </w:r>
      <w:r w:rsidR="00485E0B" w:rsidRPr="00823B1A">
        <w:rPr>
          <w:rFonts w:ascii="Times New Roman" w:eastAsia="Times New Roman" w:hAnsi="Times New Roman"/>
          <w:sz w:val="24"/>
          <w:szCs w:val="24"/>
          <w:lang w:bidi="ml-IN"/>
        </w:rPr>
        <w:t>Semi Knocked Down</w:t>
      </w:r>
      <w:r w:rsidRPr="00823B1A">
        <w:rPr>
          <w:rFonts w:ascii="Times New Roman" w:eastAsia="Times New Roman" w:hAnsi="Times New Roman"/>
          <w:sz w:val="24"/>
          <w:szCs w:val="24"/>
          <w:lang w:bidi="ml-IN"/>
        </w:rPr>
        <w:t xml:space="preserve"> (SKD) kits, vehicle aggregates of 2-wheelers, 3-wheelers, passenger vehicles, commercial vehicles, and tractors etc.</w:t>
      </w:r>
    </w:p>
    <w:p w:rsidR="00EA2A3A" w:rsidRPr="00823B1A" w:rsidRDefault="00EA2A3A" w:rsidP="00C74B80">
      <w:pPr>
        <w:spacing w:before="100" w:beforeAutospacing="1" w:after="100" w:afterAutospacing="1" w:line="360" w:lineRule="auto"/>
        <w:jc w:val="both"/>
        <w:rPr>
          <w:rFonts w:ascii="Times New Roman" w:eastAsia="Times New Roman" w:hAnsi="Times New Roman"/>
          <w:b/>
          <w:bCs/>
          <w:sz w:val="24"/>
          <w:szCs w:val="24"/>
          <w:lang w:bidi="ml-IN"/>
        </w:rPr>
      </w:pPr>
      <w:r w:rsidRPr="00823B1A">
        <w:rPr>
          <w:rFonts w:ascii="Times New Roman" w:eastAsia="Times New Roman" w:hAnsi="Times New Roman"/>
          <w:b/>
          <w:bCs/>
          <w:sz w:val="24"/>
          <w:szCs w:val="24"/>
          <w:lang w:bidi="ml-IN"/>
        </w:rPr>
        <w:t>India’s EV sales witness over 2000% surge from 2019 to 2022</w:t>
      </w:r>
    </w:p>
    <w:p w:rsidR="00EA2A3A" w:rsidRPr="00823B1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Over the previous three years, EV sales have increased by more than 2,218 percent; in FY 2023 (until December 9), over 4,42,901 electric cars have been sold, compared to 19,100 in FY 2020.</w:t>
      </w:r>
    </w:p>
    <w:p w:rsidR="00EA2A3A" w:rsidRPr="00823B1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 xml:space="preserve">Additionally, according to official data, as of December 9, about 64 </w:t>
      </w:r>
      <w:r w:rsidR="00485E0B" w:rsidRPr="00823B1A">
        <w:rPr>
          <w:rFonts w:ascii="Times New Roman" w:eastAsia="Times New Roman" w:hAnsi="Times New Roman"/>
          <w:sz w:val="24"/>
          <w:szCs w:val="24"/>
          <w:lang w:bidi="ml-IN"/>
        </w:rPr>
        <w:t>Original Equipment Manufacturers</w:t>
      </w:r>
      <w:r w:rsidRPr="00823B1A">
        <w:rPr>
          <w:rFonts w:ascii="Times New Roman" w:eastAsia="Times New Roman" w:hAnsi="Times New Roman"/>
          <w:sz w:val="24"/>
          <w:szCs w:val="24"/>
          <w:lang w:bidi="ml-IN"/>
        </w:rPr>
        <w:t xml:space="preserve"> (OEMs) of EVs have registered, and 7,47,000 EVs had been sold as part of FAME India Phase II. More than half of these EVs are three-wheelers and are used for commercial transportation, with roughly 8,00,000 two-wheelers being used for personal transportation. India now has 5,151 EV charging stations that are in use.</w:t>
      </w:r>
    </w:p>
    <w:p w:rsidR="00EA2A3A" w:rsidRPr="00823B1A" w:rsidRDefault="00EA2A3A" w:rsidP="00C74B80">
      <w:pPr>
        <w:spacing w:before="100" w:beforeAutospacing="1" w:after="100" w:afterAutospacing="1" w:line="360" w:lineRule="auto"/>
        <w:jc w:val="both"/>
        <w:rPr>
          <w:rFonts w:ascii="Times New Roman" w:eastAsia="Times New Roman" w:hAnsi="Times New Roman"/>
          <w:b/>
          <w:bCs/>
          <w:sz w:val="24"/>
          <w:szCs w:val="24"/>
          <w:lang w:bidi="ml-IN"/>
        </w:rPr>
      </w:pPr>
      <w:r w:rsidRPr="00823B1A">
        <w:rPr>
          <w:rFonts w:ascii="Times New Roman" w:eastAsia="Times New Roman" w:hAnsi="Times New Roman"/>
          <w:b/>
          <w:bCs/>
          <w:sz w:val="24"/>
          <w:szCs w:val="24"/>
          <w:lang w:bidi="ml-IN"/>
        </w:rPr>
        <w:t>Emerging market players</w:t>
      </w:r>
    </w:p>
    <w:p w:rsidR="00EA2A3A" w:rsidRPr="00823B1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Many leading battery producers like Amara Raja Batteries, have picked up the cue from theses incentives to orient new investments into green technologies, including in lithium-ion batteries.</w:t>
      </w:r>
    </w:p>
    <w:p w:rsidR="00EA2A3A" w:rsidRDefault="00EA2A3A" w:rsidP="00C74B80">
      <w:pPr>
        <w:spacing w:before="100" w:beforeAutospacing="1" w:after="100" w:afterAutospacing="1" w:line="360" w:lineRule="auto"/>
        <w:jc w:val="both"/>
        <w:rPr>
          <w:rFonts w:ascii="Times New Roman" w:eastAsia="Times New Roman" w:hAnsi="Times New Roman"/>
          <w:sz w:val="24"/>
          <w:szCs w:val="24"/>
          <w:lang w:bidi="ml-IN"/>
        </w:rPr>
      </w:pPr>
      <w:r w:rsidRPr="00823B1A">
        <w:rPr>
          <w:rFonts w:ascii="Times New Roman" w:eastAsia="Times New Roman" w:hAnsi="Times New Roman"/>
          <w:sz w:val="24"/>
          <w:szCs w:val="24"/>
          <w:lang w:bidi="ml-IN"/>
        </w:rPr>
        <w:t xml:space="preserve">In April 2022, one of the world’s most energy dense batteries at 54MWh, developed by a Bengaluru-based battery startup – Pravaig, was acquired by a European renewable </w:t>
      </w:r>
      <w:r w:rsidRPr="00823B1A">
        <w:rPr>
          <w:rFonts w:ascii="Times New Roman" w:eastAsia="Times New Roman" w:hAnsi="Times New Roman"/>
          <w:sz w:val="24"/>
          <w:szCs w:val="24"/>
          <w:lang w:bidi="ml-IN"/>
        </w:rPr>
        <w:lastRenderedPageBreak/>
        <w:t>energy company, Eren Groupe, for its storage applications. Having a high density implies that the battery gives more power per atom, proving to be cost-effective when compared with alternatives such as sodium-ion or aluminum air. The developers of the battery have also informed that it takes just 30 minutes to fully charge a battery. This new acquisition by a European company will not only give boost to domestic manufacturing, but will also make pave way for making EVs more economical, considering batteries usually account for 35-40 percent of the total cost.</w:t>
      </w:r>
    </w:p>
    <w:p w:rsidR="00304B5A" w:rsidRDefault="00304B5A" w:rsidP="00C74B80">
      <w:pPr>
        <w:spacing w:after="0" w:line="360" w:lineRule="auto"/>
        <w:jc w:val="both"/>
        <w:rPr>
          <w:rFonts w:ascii="Times New Roman" w:hAnsi="Times New Roman"/>
          <w:b/>
          <w:color w:val="000000" w:themeColor="text1"/>
          <w:sz w:val="24"/>
          <w:szCs w:val="24"/>
        </w:rPr>
      </w:pPr>
      <w:r w:rsidRPr="005A1812">
        <w:rPr>
          <w:rFonts w:ascii="Times New Roman" w:hAnsi="Times New Roman"/>
          <w:b/>
          <w:noProof/>
          <w:color w:val="000000" w:themeColor="text1"/>
          <w:sz w:val="28"/>
          <w:szCs w:val="24"/>
          <w:lang w:eastAsia="en-IN" w:bidi="ml-IN"/>
        </w:rPr>
        <w:drawing>
          <wp:anchor distT="0" distB="0" distL="114300" distR="114300" simplePos="0" relativeHeight="251666432" behindDoc="0" locked="0" layoutInCell="1" allowOverlap="1" wp14:anchorId="3970B9B4" wp14:editId="349109F4">
            <wp:simplePos x="0" y="0"/>
            <wp:positionH relativeFrom="column">
              <wp:posOffset>840562</wp:posOffset>
            </wp:positionH>
            <wp:positionV relativeFrom="paragraph">
              <wp:posOffset>2005</wp:posOffset>
            </wp:positionV>
            <wp:extent cx="3199130" cy="2640330"/>
            <wp:effectExtent l="0" t="0" r="1270" b="7620"/>
            <wp:wrapSquare wrapText="bothSides"/>
            <wp:docPr id="35" name="Picture 35" descr="C:\Users\DEEPEEYZ\Downloads\WhatsApp Image 2024-04-10 at 10.4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EPEEYZ\Downloads\WhatsApp Image 2024-04-10 at 10.46.4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9130" cy="2640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304B5A" w:rsidRDefault="00304B5A" w:rsidP="00C74B80">
      <w:pPr>
        <w:spacing w:after="0" w:line="360" w:lineRule="auto"/>
        <w:jc w:val="both"/>
        <w:rPr>
          <w:rFonts w:ascii="Times New Roman" w:hAnsi="Times New Roman"/>
          <w:b/>
          <w:color w:val="000000" w:themeColor="text1"/>
          <w:sz w:val="24"/>
          <w:szCs w:val="24"/>
        </w:rPr>
      </w:pPr>
    </w:p>
    <w:p w:rsidR="00EA2A3A" w:rsidRDefault="00EA2A3A" w:rsidP="00C74B80">
      <w:pPr>
        <w:spacing w:after="0" w:line="360" w:lineRule="auto"/>
        <w:jc w:val="both"/>
        <w:rPr>
          <w:rFonts w:ascii="Times New Roman" w:hAnsi="Times New Roman"/>
          <w:b/>
          <w:color w:val="000000" w:themeColor="text1"/>
          <w:sz w:val="24"/>
          <w:szCs w:val="24"/>
        </w:rPr>
      </w:pPr>
      <w:r w:rsidRPr="00235981">
        <w:rPr>
          <w:rFonts w:ascii="Times New Roman" w:hAnsi="Times New Roman"/>
          <w:b/>
          <w:color w:val="000000" w:themeColor="text1"/>
          <w:sz w:val="24"/>
          <w:szCs w:val="24"/>
        </w:rPr>
        <w:t xml:space="preserve">THE RISE OF </w:t>
      </w:r>
      <w:r w:rsidRPr="00235981">
        <w:rPr>
          <w:rFonts w:ascii="Times New Roman" w:hAnsi="Times New Roman"/>
          <w:b/>
          <w:bCs/>
          <w:sz w:val="24"/>
          <w:szCs w:val="24"/>
        </w:rPr>
        <w:t>ELECTRIC VEHICLE</w:t>
      </w:r>
      <w:r>
        <w:rPr>
          <w:rFonts w:ascii="Times New Roman" w:hAnsi="Times New Roman"/>
          <w:b/>
          <w:color w:val="000000" w:themeColor="text1"/>
          <w:sz w:val="24"/>
          <w:szCs w:val="24"/>
        </w:rPr>
        <w:t xml:space="preserve"> </w:t>
      </w:r>
      <w:r w:rsidRPr="00235981">
        <w:rPr>
          <w:rFonts w:ascii="Times New Roman" w:hAnsi="Times New Roman"/>
          <w:b/>
          <w:color w:val="000000" w:themeColor="text1"/>
          <w:sz w:val="24"/>
          <w:szCs w:val="24"/>
        </w:rPr>
        <w:t>IN INDIA</w:t>
      </w: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304B5A" w:rsidP="00C74B80">
      <w:pPr>
        <w:spacing w:after="0" w:line="360" w:lineRule="auto"/>
        <w:jc w:val="both"/>
        <w:rPr>
          <w:rFonts w:ascii="Times New Roman" w:hAnsi="Times New Roman"/>
          <w:b/>
          <w:color w:val="000000" w:themeColor="text1"/>
          <w:sz w:val="28"/>
          <w:szCs w:val="24"/>
        </w:rPr>
      </w:pPr>
      <w:r w:rsidRPr="005A1812">
        <w:rPr>
          <w:rFonts w:ascii="Times New Roman" w:hAnsi="Times New Roman"/>
          <w:b/>
          <w:noProof/>
          <w:color w:val="000000" w:themeColor="text1"/>
          <w:sz w:val="28"/>
          <w:szCs w:val="24"/>
          <w:lang w:eastAsia="en-IN" w:bidi="ml-IN"/>
        </w:rPr>
        <w:drawing>
          <wp:anchor distT="0" distB="0" distL="114300" distR="114300" simplePos="0" relativeHeight="251664384" behindDoc="0" locked="0" layoutInCell="1" allowOverlap="1" wp14:anchorId="4D07CACA" wp14:editId="3EFB912F">
            <wp:simplePos x="0" y="0"/>
            <wp:positionH relativeFrom="column">
              <wp:posOffset>902970</wp:posOffset>
            </wp:positionH>
            <wp:positionV relativeFrom="paragraph">
              <wp:posOffset>160655</wp:posOffset>
            </wp:positionV>
            <wp:extent cx="4077970" cy="2650490"/>
            <wp:effectExtent l="0" t="0" r="0" b="0"/>
            <wp:wrapSquare wrapText="bothSides"/>
            <wp:docPr id="37" name="Picture 37" descr="C:\Users\DEEPEEYZ\Downloads\WhatsApp Image 2024-04-10 at 10.4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EPEEYZ\Downloads\WhatsApp Image 2024-04-10 at 10.46.4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7970" cy="2650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4"/>
        </w:rPr>
      </w:pPr>
    </w:p>
    <w:p w:rsidR="00EA2A3A" w:rsidRPr="00235981" w:rsidRDefault="00EA2A3A" w:rsidP="00C74B80">
      <w:pPr>
        <w:spacing w:after="0" w:line="360" w:lineRule="auto"/>
        <w:jc w:val="center"/>
        <w:rPr>
          <w:rFonts w:ascii="Times New Roman" w:hAnsi="Times New Roman"/>
          <w:b/>
          <w:color w:val="000000" w:themeColor="text1"/>
          <w:sz w:val="24"/>
        </w:rPr>
      </w:pPr>
      <w:r w:rsidRPr="00235981">
        <w:rPr>
          <w:rFonts w:ascii="Times New Roman" w:hAnsi="Times New Roman"/>
          <w:b/>
          <w:color w:val="000000" w:themeColor="text1"/>
          <w:sz w:val="24"/>
        </w:rPr>
        <w:lastRenderedPageBreak/>
        <w:t>REGISTERED EV STYLE TREND IN INDIA</w:t>
      </w:r>
      <w:r>
        <w:rPr>
          <w:rFonts w:ascii="Times New Roman" w:hAnsi="Times New Roman"/>
          <w:b/>
          <w:color w:val="000000" w:themeColor="text1"/>
          <w:sz w:val="24"/>
        </w:rPr>
        <w:t xml:space="preserve"> (MARCH 2022-23)</w:t>
      </w:r>
    </w:p>
    <w:p w:rsidR="00EA2A3A" w:rsidRDefault="00EA2A3A" w:rsidP="00C74B80">
      <w:pPr>
        <w:spacing w:after="0" w:line="360" w:lineRule="auto"/>
        <w:jc w:val="center"/>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r w:rsidRPr="00235981">
        <w:rPr>
          <w:rFonts w:ascii="Times New Roman" w:hAnsi="Times New Roman"/>
          <w:b/>
          <w:noProof/>
          <w:color w:val="000000" w:themeColor="text1"/>
          <w:sz w:val="28"/>
          <w:szCs w:val="24"/>
          <w:lang w:eastAsia="en-IN" w:bidi="ml-IN"/>
        </w:rPr>
        <w:drawing>
          <wp:anchor distT="0" distB="0" distL="114300" distR="114300" simplePos="0" relativeHeight="251667456" behindDoc="0" locked="0" layoutInCell="1" allowOverlap="1" wp14:anchorId="3D856F46" wp14:editId="430A98BC">
            <wp:simplePos x="0" y="0"/>
            <wp:positionH relativeFrom="column">
              <wp:posOffset>266065</wp:posOffset>
            </wp:positionH>
            <wp:positionV relativeFrom="paragraph">
              <wp:posOffset>57785</wp:posOffset>
            </wp:positionV>
            <wp:extent cx="4465955" cy="2903220"/>
            <wp:effectExtent l="0" t="0" r="0" b="0"/>
            <wp:wrapSquare wrapText="bothSides"/>
            <wp:docPr id="45" name="Picture 45" descr="C:\Users\DEEPEEYZ\Downloads\WhatsApp Image 2024-04-10 at 10.46.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EPEEYZ\Downloads\WhatsApp Image 2024-04-10 at 10.46.42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5955" cy="2903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r w:rsidRPr="00BC7701">
        <w:rPr>
          <w:rFonts w:ascii="Times New Roman" w:hAnsi="Times New Roman"/>
          <w:b/>
          <w:color w:val="000000" w:themeColor="text1"/>
          <w:sz w:val="24"/>
        </w:rPr>
        <w:t>PRODUCTION LINKED INCENTIVE (PLI) SCHEME FOR AUTOMOBILE AND AUTO COMPONENT INDUSTRY</w:t>
      </w:r>
      <w:r w:rsidRPr="005A1812">
        <w:rPr>
          <w:rFonts w:ascii="Times New Roman" w:hAnsi="Times New Roman"/>
          <w:b/>
          <w:noProof/>
          <w:color w:val="000000" w:themeColor="text1"/>
          <w:sz w:val="28"/>
          <w:szCs w:val="24"/>
          <w:lang w:eastAsia="en-IN" w:bidi="ml-IN"/>
        </w:rPr>
        <w:drawing>
          <wp:anchor distT="0" distB="0" distL="114300" distR="114300" simplePos="0" relativeHeight="251665408" behindDoc="0" locked="0" layoutInCell="1" allowOverlap="1" wp14:anchorId="08924901" wp14:editId="6F0763A2">
            <wp:simplePos x="0" y="0"/>
            <wp:positionH relativeFrom="column">
              <wp:posOffset>112476</wp:posOffset>
            </wp:positionH>
            <wp:positionV relativeFrom="paragraph">
              <wp:posOffset>518160</wp:posOffset>
            </wp:positionV>
            <wp:extent cx="5210175" cy="2437130"/>
            <wp:effectExtent l="0" t="0" r="9525" b="1270"/>
            <wp:wrapSquare wrapText="bothSides"/>
            <wp:docPr id="34" name="Picture 34" descr="C:\Users\DEEPEEYZ\Downloads\WhatsApp Image 2024-04-10 at 10.46.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EPEEYZ\Downloads\WhatsApp Image 2024-04-10 at 10.46.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75" cy="2437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p>
    <w:p w:rsidR="00EA2A3A" w:rsidRDefault="00EA2A3A" w:rsidP="00C74B80">
      <w:pPr>
        <w:spacing w:after="0" w:line="360" w:lineRule="auto"/>
        <w:jc w:val="both"/>
        <w:rPr>
          <w:rFonts w:ascii="Times New Roman" w:hAnsi="Times New Roman"/>
          <w:b/>
          <w:color w:val="000000" w:themeColor="text1"/>
          <w:sz w:val="28"/>
          <w:szCs w:val="24"/>
        </w:rPr>
      </w:pPr>
      <w:r>
        <w:rPr>
          <w:rFonts w:ascii="Times New Roman" w:hAnsi="Times New Roman"/>
          <w:b/>
          <w:color w:val="000000" w:themeColor="text1"/>
          <w:sz w:val="28"/>
          <w:szCs w:val="24"/>
        </w:rPr>
        <w:lastRenderedPageBreak/>
        <w:t xml:space="preserve">2.4 COMPANY PROFILE </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1. Greaves Electric Mobility Private Limited (‘GEMPL’)</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1577"/>
        <w:gridCol w:w="4189"/>
      </w:tblGrid>
      <w:tr w:rsidR="00EA2A3A" w:rsidRPr="00823B1A" w:rsidTr="00304B5A">
        <w:trPr>
          <w:tblCellSpacing w:w="0" w:type="dxa"/>
          <w:jc w:val="center"/>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304B5A" w:rsidP="00C74B80">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EA2A3A" w:rsidRPr="00823B1A">
              <w:rPr>
                <w:rFonts w:ascii="Times New Roman" w:hAnsi="Times New Roman"/>
                <w:color w:val="000000" w:themeColor="text1"/>
                <w:sz w:val="24"/>
                <w:szCs w:val="24"/>
              </w:rPr>
              <w:t>2008</w:t>
            </w:r>
          </w:p>
        </w:tc>
      </w:tr>
      <w:tr w:rsidR="00EA2A3A" w:rsidRPr="00823B1A" w:rsidTr="00304B5A">
        <w:trPr>
          <w:tblCellSpacing w:w="0" w:type="dxa"/>
          <w:jc w:val="center"/>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Karnataka, India</w:t>
            </w:r>
          </w:p>
        </w:tc>
      </w:tr>
      <w:tr w:rsidR="00EA2A3A" w:rsidRPr="00823B1A" w:rsidTr="00304B5A">
        <w:trPr>
          <w:tblCellSpacing w:w="0" w:type="dxa"/>
          <w:jc w:val="center"/>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https://ampere.greaveselectricmobility.com</w:t>
            </w:r>
          </w:p>
        </w:tc>
      </w:tr>
    </w:tbl>
    <w:p w:rsidR="00EA2A3A" w:rsidRPr="00823B1A" w:rsidRDefault="00EA2A3A" w:rsidP="00C74B80">
      <w:pPr>
        <w:pStyle w:val="NormalWeb"/>
        <w:spacing w:line="360" w:lineRule="auto"/>
        <w:jc w:val="both"/>
        <w:rPr>
          <w:color w:val="000000" w:themeColor="text1"/>
        </w:rPr>
      </w:pPr>
      <w:r w:rsidRPr="00823B1A">
        <w:rPr>
          <w:color w:val="000000" w:themeColor="text1"/>
        </w:rPr>
        <w:t xml:space="preserve">Greaves Electric Mobility Private Limited (‘GEMPL’) focuses on producing eco-friendly electric vehicles for urban transportation. The company aims to revolutionize the Indian mobility sector by offering electric vehicles that are affordable, reliable, and sustainable. Its product line includes electric scooters, motorcycles, and </w:t>
      </w:r>
      <w:hyperlink r:id="rId11" w:history="1">
        <w:r w:rsidRPr="00823B1A">
          <w:rPr>
            <w:rStyle w:val="Hyperlink"/>
            <w:rFonts w:eastAsia="Calibri"/>
            <w:color w:val="000000" w:themeColor="text1"/>
          </w:rPr>
          <w:t>three-wheelers</w:t>
        </w:r>
      </w:hyperlink>
      <w:r w:rsidRPr="00823B1A">
        <w:rPr>
          <w:color w:val="000000" w:themeColor="text1"/>
        </w:rPr>
        <w:t>. It is strongly committed to environment sustainability and aims to reduce carbon emissions by promoting the use of electric vehicles in India.</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2. Ather Energy Private Limited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883"/>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2013</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Karnataka,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https://www.atherenergy.com</w:t>
            </w:r>
          </w:p>
        </w:tc>
      </w:tr>
    </w:tbl>
    <w:p w:rsidR="00EA2A3A" w:rsidRDefault="00EA2A3A" w:rsidP="00C74B80">
      <w:pPr>
        <w:pStyle w:val="NormalWeb"/>
        <w:spacing w:line="360" w:lineRule="auto"/>
        <w:jc w:val="both"/>
        <w:rPr>
          <w:color w:val="000000" w:themeColor="text1"/>
        </w:rPr>
      </w:pPr>
      <w:r w:rsidRPr="00823B1A">
        <w:rPr>
          <w:color w:val="000000" w:themeColor="text1"/>
        </w:rPr>
        <w:t>Ather Energy Private Limited is an Indian startup that focuses on the designing and manufacturing of electric scooters. The company’s vision is to create a sustainable and eco-friendly mode of transportation for the Indian industry, which is heavily dependent on petrol and diesel-powered vehicles. Its flagship product is a high-performance electric scooter that is designed to offer a superior riding experience to its customers. It also invests in developing a robust charging infrastructure to support the growing demand for electric vehicles in India.</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3. ATUL Auto Limited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004"/>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1986</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lastRenderedPageBreak/>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Gujarat,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https://atulauto.co.in</w:t>
            </w:r>
          </w:p>
        </w:tc>
      </w:tr>
    </w:tbl>
    <w:p w:rsidR="00EA2A3A" w:rsidRPr="00823B1A" w:rsidRDefault="00EA2A3A" w:rsidP="00C74B80">
      <w:pPr>
        <w:pStyle w:val="NormalWeb"/>
        <w:spacing w:line="360" w:lineRule="auto"/>
        <w:jc w:val="both"/>
        <w:rPr>
          <w:color w:val="000000" w:themeColor="text1"/>
        </w:rPr>
      </w:pPr>
      <w:r w:rsidRPr="00823B1A">
        <w:rPr>
          <w:color w:val="000000" w:themeColor="text1"/>
        </w:rPr>
        <w:t>ATUL Auto Limited is an Indian company that manufactures three-wheeled commercial vehicles for passenger and cargo transportation. It has a diverse product portfolio that includes passenger carriers, goods carriers, and special purpose vehicles. Its products are known for their durability, reliability, and fuel efficiency. It has a strong distribution network that covers most parts of India, with over 350 dealerships and service centers.</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4. Bajaj Auto Limited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630"/>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1945</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Pune, Maharashtra,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https://www.bajajauto.com</w:t>
            </w:r>
          </w:p>
        </w:tc>
      </w:tr>
    </w:tbl>
    <w:p w:rsidR="00EA2A3A" w:rsidRDefault="00EA2A3A" w:rsidP="00C74B80">
      <w:pPr>
        <w:pStyle w:val="NormalWeb"/>
        <w:spacing w:line="360" w:lineRule="auto"/>
        <w:jc w:val="both"/>
        <w:rPr>
          <w:color w:val="000000" w:themeColor="text1"/>
        </w:rPr>
      </w:pPr>
      <w:r w:rsidRPr="00823B1A">
        <w:rPr>
          <w:color w:val="000000" w:themeColor="text1"/>
        </w:rPr>
        <w:t>Bajaj Auto Limited specializes in the designing, manufacturing, and distribution of two-wheeled vehicles. It is one of the substantial manufacturers of two-wheeled vehicles in the world and has a strong presence in over 75 countries. Its product line includes motorcycles, scooters, and three-wheeled vehicles. It is known for its innovative and high-performance products, which cater to a wide range of customers, from entry-level to premium segments. It has also invested in developing electric vehicles and has launched electric scooters and motorcycles in the Indian market.</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5. Electrotherm (India) Limited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963"/>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1983</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Gujarat,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https://www.electrotherm.com</w:t>
            </w:r>
          </w:p>
        </w:tc>
      </w:tr>
    </w:tbl>
    <w:p w:rsidR="00EA2A3A" w:rsidRPr="00823B1A" w:rsidRDefault="00EA2A3A" w:rsidP="00C74B80">
      <w:pPr>
        <w:pStyle w:val="NormalWeb"/>
        <w:spacing w:line="360" w:lineRule="auto"/>
        <w:jc w:val="both"/>
        <w:rPr>
          <w:color w:val="000000" w:themeColor="text1"/>
        </w:rPr>
      </w:pPr>
      <w:r w:rsidRPr="00823B1A">
        <w:rPr>
          <w:color w:val="000000" w:themeColor="text1"/>
        </w:rPr>
        <w:lastRenderedPageBreak/>
        <w:t>Electrotherm (India) Limited specializes in the design, manufacture, and distribution of engineering products and services. It has a diverse product portfolio that includes induction furnaces, electric scooters, motorcycles, and batteries. It is known for its innovative and eco-friendly products, which cater to a wide range of customers. It has a strong commitment to research and development and has invested in developing advanced technologies for its products.</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6. Hero Electric Vehicles Pvt. Ltd.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563"/>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1993</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Gurugram, Haryana,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https://www.heroeco.com</w:t>
            </w:r>
          </w:p>
        </w:tc>
      </w:tr>
    </w:tbl>
    <w:p w:rsidR="00EA2A3A" w:rsidRDefault="00EA2A3A" w:rsidP="00C74B80">
      <w:pPr>
        <w:pStyle w:val="NormalWeb"/>
        <w:spacing w:line="360" w:lineRule="auto"/>
        <w:jc w:val="both"/>
        <w:rPr>
          <w:color w:val="000000" w:themeColor="text1"/>
        </w:rPr>
      </w:pPr>
      <w:r w:rsidRPr="00823B1A">
        <w:rPr>
          <w:color w:val="000000" w:themeColor="text1"/>
        </w:rPr>
        <w:t>Hero Electric Vehicles Pvt. Ltd. manufactures and distributes electric two-wheeled vehicles. It offers a wide range of electric scooters and motorcycles, catering to various segments of the industry. It is known for its innovative and eco-friendly products, which are designed to reduce carbon emissions and promote sustainable transportation. It has a strong distribution network that covers most parts of India, with over 500 dealerships and service centers. The company has also expanded its business overseas, with exports to countries such as Europe, Africa, and the Middle East.</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7. Hyundai Motor India Ltd.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777"/>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1996</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Gurugram, Haryana,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https://www.hyundai.com/in</w:t>
            </w:r>
          </w:p>
        </w:tc>
      </w:tr>
    </w:tbl>
    <w:p w:rsidR="00EA2A3A" w:rsidRPr="00823B1A" w:rsidRDefault="00EA2A3A" w:rsidP="00C74B80">
      <w:pPr>
        <w:pStyle w:val="NormalWeb"/>
        <w:spacing w:line="360" w:lineRule="auto"/>
        <w:jc w:val="both"/>
        <w:rPr>
          <w:color w:val="000000" w:themeColor="text1"/>
        </w:rPr>
      </w:pPr>
      <w:r w:rsidRPr="00823B1A">
        <w:rPr>
          <w:color w:val="000000" w:themeColor="text1"/>
        </w:rPr>
        <w:t xml:space="preserve">Hyundai Motor India Ltd. is a subsidiary of the South Korean multinational automotive manufacturer Hyundai Motor Company. The company manufactures and distributes a wide range of cars, including hatchbacks, sedans, SUVs, and electric vehicles. It has implemented various measures to reduce its carbon footprint and promote environmental sustainability. It is committed to providing quality products and services </w:t>
      </w:r>
      <w:r w:rsidRPr="00823B1A">
        <w:rPr>
          <w:color w:val="000000" w:themeColor="text1"/>
        </w:rPr>
        <w:lastRenderedPageBreak/>
        <w:t>to its customers and has been recognized with numerous awards for its achievements in the Indian automotive industry.</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8. JBM Group</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684"/>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1983</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Gurugram, Haryana,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https://www.jbmgroup.com</w:t>
            </w:r>
          </w:p>
        </w:tc>
      </w:tr>
    </w:tbl>
    <w:p w:rsidR="00EA2A3A" w:rsidRDefault="00EA2A3A" w:rsidP="00C74B80">
      <w:pPr>
        <w:pStyle w:val="NormalWeb"/>
        <w:spacing w:line="360" w:lineRule="auto"/>
        <w:jc w:val="both"/>
        <w:rPr>
          <w:color w:val="000000" w:themeColor="text1"/>
        </w:rPr>
      </w:pPr>
      <w:r w:rsidRPr="00823B1A">
        <w:rPr>
          <w:color w:val="000000" w:themeColor="text1"/>
        </w:rPr>
        <w:t>JBM Group is an Indian multinational company that designs, manufactures, and distributes automotive components and systems. Its product line includes sheet metal components, assemblies, exhaust systems, and buses. It has a strong focus on innovation and has developed advanced technologies for its products. It has a strong distribution network that covers most parts of India, with over 25 manufacturing facilities and 10 design centers. It has also expanded its business overseas, with operations in countries, such as Mexico, Germany, and the United Kingdom.</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t>9. Mahindra &amp; Mahindra Limited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3650"/>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1994</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Bangalore, Karnataka,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https://mahindralastmilemobility.com</w:t>
            </w:r>
          </w:p>
        </w:tc>
      </w:tr>
    </w:tbl>
    <w:p w:rsidR="00EA2A3A" w:rsidRPr="00823B1A" w:rsidRDefault="00EA2A3A" w:rsidP="00C74B80">
      <w:pPr>
        <w:pStyle w:val="NormalWeb"/>
        <w:spacing w:line="360" w:lineRule="auto"/>
        <w:jc w:val="both"/>
        <w:rPr>
          <w:color w:val="000000" w:themeColor="text1"/>
        </w:rPr>
      </w:pPr>
      <w:r w:rsidRPr="00823B1A">
        <w:rPr>
          <w:color w:val="000000" w:themeColor="text1"/>
        </w:rPr>
        <w:t>Mahindra &amp; Mahindra Limited mainly deals in electric vehicles and related products. Its product line includes electric cars, three-wheelers, and commercial vehicles. It has a strong distribution network that covers most parts of India, with over 100 dealerships and service centers. The company has also expanded its business overseas, with exports to countries such as Nepal, Bhutan, and Sri Lanka. It is committed to sustainable development and has implemented various measures to reduce its carbon footprint and promote environmental sustainability.</w:t>
      </w:r>
    </w:p>
    <w:p w:rsidR="00EA2A3A" w:rsidRPr="00823B1A" w:rsidRDefault="00EA2A3A" w:rsidP="00C74B80">
      <w:pPr>
        <w:pStyle w:val="Heading3"/>
        <w:spacing w:line="360" w:lineRule="auto"/>
        <w:jc w:val="both"/>
        <w:rPr>
          <w:rFonts w:ascii="Times New Roman" w:hAnsi="Times New Roman" w:cs="Times New Roman"/>
          <w:color w:val="000000" w:themeColor="text1"/>
        </w:rPr>
      </w:pPr>
      <w:r w:rsidRPr="00823B1A">
        <w:rPr>
          <w:rStyle w:val="Strong"/>
          <w:rFonts w:ascii="Times New Roman" w:hAnsi="Times New Roman"/>
          <w:b w:val="0"/>
          <w:bCs w:val="0"/>
          <w:color w:val="000000" w:themeColor="text1"/>
        </w:rPr>
        <w:lastRenderedPageBreak/>
        <w:t>10. MG Motor India Private Limited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7"/>
        <w:gridCol w:w="2690"/>
      </w:tblGrid>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Establishment:</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2017</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Headquarters:</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Gurugram, Haryana, India</w:t>
            </w:r>
          </w:p>
        </w:tc>
      </w:tr>
      <w:tr w:rsidR="00EA2A3A" w:rsidRPr="00823B1A" w:rsidTr="00304B5A">
        <w:trPr>
          <w:tblCellSpacing w:w="0" w:type="dxa"/>
        </w:trPr>
        <w:tc>
          <w:tcPr>
            <w:tcW w:w="0" w:type="auto"/>
            <w:hideMark/>
          </w:tcPr>
          <w:p w:rsidR="00EA2A3A" w:rsidRPr="00823B1A" w:rsidRDefault="00EA2A3A" w:rsidP="00C74B80">
            <w:pPr>
              <w:pStyle w:val="NormalWeb"/>
              <w:spacing w:line="360" w:lineRule="auto"/>
              <w:jc w:val="both"/>
              <w:rPr>
                <w:color w:val="000000" w:themeColor="text1"/>
              </w:rPr>
            </w:pPr>
            <w:r w:rsidRPr="00823B1A">
              <w:rPr>
                <w:rStyle w:val="Strong"/>
                <w:color w:val="000000" w:themeColor="text1"/>
              </w:rPr>
              <w:t>Website:</w:t>
            </w:r>
          </w:p>
        </w:tc>
        <w:tc>
          <w:tcPr>
            <w:tcW w:w="0" w:type="auto"/>
            <w:hideMark/>
          </w:tcPr>
          <w:p w:rsidR="00EA2A3A" w:rsidRPr="00823B1A" w:rsidRDefault="00EA2A3A" w:rsidP="00C74B80">
            <w:pPr>
              <w:spacing w:line="360" w:lineRule="auto"/>
              <w:jc w:val="both"/>
              <w:rPr>
                <w:rFonts w:ascii="Times New Roman" w:hAnsi="Times New Roman"/>
                <w:color w:val="000000" w:themeColor="text1"/>
                <w:sz w:val="24"/>
                <w:szCs w:val="24"/>
              </w:rPr>
            </w:pPr>
            <w:r w:rsidRPr="00823B1A">
              <w:rPr>
                <w:rFonts w:ascii="Times New Roman" w:hAnsi="Times New Roman"/>
                <w:color w:val="000000" w:themeColor="text1"/>
                <w:sz w:val="24"/>
                <w:szCs w:val="24"/>
              </w:rPr>
              <w:t>https://www.mgmotor.co.in</w:t>
            </w:r>
          </w:p>
        </w:tc>
      </w:tr>
    </w:tbl>
    <w:p w:rsidR="00EA2A3A" w:rsidRPr="00823B1A" w:rsidRDefault="00EA2A3A" w:rsidP="00C74B80">
      <w:pPr>
        <w:pStyle w:val="NormalWeb"/>
        <w:spacing w:line="360" w:lineRule="auto"/>
        <w:jc w:val="both"/>
        <w:rPr>
          <w:color w:val="000000" w:themeColor="text1"/>
        </w:rPr>
      </w:pPr>
      <w:r w:rsidRPr="00823B1A">
        <w:rPr>
          <w:color w:val="000000" w:themeColor="text1"/>
        </w:rPr>
        <w:t>MG Motor India Private Limited is a subsidiary of the Chinese multinational automotive manufacturer SAIC Motor Corporation Limited. It manufactures and distributes a range of cars, including SUVs, electric vehicles, and plug-in hybrids. It is known for its innovative and high-performance products, which cater to a wide range of customers, from entry-level to premium segments. It has a strong distribution network that covers most parts of India, with over 220 dealerships and service centers.</w:t>
      </w:r>
    </w:p>
    <w:p w:rsidR="00C74B80" w:rsidRDefault="00C74B80" w:rsidP="00C74B80">
      <w:pPr>
        <w:spacing w:after="0" w:line="360" w:lineRule="auto"/>
        <w:jc w:val="both"/>
        <w:rPr>
          <w:rFonts w:ascii="Times New Roman" w:hAnsi="Times New Roman" w:cs="Times New Roman"/>
          <w:sz w:val="24"/>
          <w:szCs w:val="24"/>
        </w:rPr>
      </w:pPr>
    </w:p>
    <w:p w:rsidR="00B06791" w:rsidRDefault="00B06791" w:rsidP="00C74B80">
      <w:pPr>
        <w:spacing w:line="360" w:lineRule="auto"/>
        <w:jc w:val="both"/>
        <w:rPr>
          <w:rFonts w:ascii="Times New Roman" w:hAnsi="Times New Roman" w:cs="Times New Roman"/>
          <w:b/>
          <w:sz w:val="28"/>
          <w:szCs w:val="24"/>
        </w:rPr>
      </w:pPr>
    </w:p>
    <w:p w:rsidR="00B06791" w:rsidRDefault="00B06791" w:rsidP="00C74B80">
      <w:pPr>
        <w:spacing w:line="360" w:lineRule="auto"/>
        <w:jc w:val="both"/>
        <w:rPr>
          <w:rFonts w:ascii="Times New Roman" w:hAnsi="Times New Roman" w:cs="Times New Roman"/>
          <w:b/>
          <w:sz w:val="28"/>
          <w:szCs w:val="24"/>
        </w:rPr>
      </w:pPr>
    </w:p>
    <w:p w:rsidR="00B06791" w:rsidRDefault="00B06791" w:rsidP="00C74B80">
      <w:pPr>
        <w:spacing w:line="360" w:lineRule="auto"/>
        <w:jc w:val="both"/>
        <w:rPr>
          <w:rFonts w:ascii="Times New Roman" w:hAnsi="Times New Roman" w:cs="Times New Roman"/>
          <w:b/>
          <w:sz w:val="28"/>
          <w:szCs w:val="24"/>
        </w:rPr>
      </w:pPr>
    </w:p>
    <w:p w:rsidR="00304B5A" w:rsidRDefault="00304B5A" w:rsidP="00C74B80">
      <w:pPr>
        <w:spacing w:line="360" w:lineRule="auto"/>
        <w:jc w:val="both"/>
        <w:rPr>
          <w:rFonts w:ascii="Times New Roman" w:hAnsi="Times New Roman" w:cs="Times New Roman"/>
          <w:b/>
          <w:sz w:val="28"/>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5B4851" w:rsidRDefault="005B4851"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304B5A" w:rsidRDefault="00304B5A"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b/>
          <w:sz w:val="24"/>
          <w:szCs w:val="24"/>
        </w:rPr>
        <w:lastRenderedPageBreak/>
        <w:t>T</w:t>
      </w:r>
      <w:r>
        <w:rPr>
          <w:rFonts w:ascii="Times New Roman" w:hAnsi="Times New Roman"/>
          <w:b/>
          <w:sz w:val="24"/>
          <w:szCs w:val="24"/>
        </w:rPr>
        <w:t>ABLE NO.4.1</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b/>
          <w:sz w:val="24"/>
          <w:szCs w:val="24"/>
        </w:rPr>
        <w:t xml:space="preserve">CHARGING STATIONS CONTRIBUTE TO USER SAFETY FOR ELECTRIC VEHICLE CHARGING </w:t>
      </w:r>
    </w:p>
    <w:tbl>
      <w:tblPr>
        <w:tblStyle w:val="TableGrid"/>
        <w:tblW w:w="0" w:type="auto"/>
        <w:jc w:val="center"/>
        <w:tblLook w:val="04A0" w:firstRow="1" w:lastRow="0" w:firstColumn="1" w:lastColumn="0" w:noHBand="0" w:noVBand="1"/>
      </w:tblPr>
      <w:tblGrid>
        <w:gridCol w:w="2636"/>
        <w:gridCol w:w="2636"/>
        <w:gridCol w:w="2636"/>
      </w:tblGrid>
      <w:tr w:rsidR="008E7AE0" w:rsidRPr="00490F70" w:rsidTr="00651C15">
        <w:trPr>
          <w:trHeight w:val="395"/>
          <w:jc w:val="center"/>
        </w:trPr>
        <w:tc>
          <w:tcPr>
            <w:tcW w:w="2636" w:type="dxa"/>
          </w:tcPr>
          <w:p w:rsidR="008E7AE0" w:rsidRPr="00490F70" w:rsidRDefault="008E7AE0" w:rsidP="00C74B80">
            <w:pPr>
              <w:spacing w:line="360" w:lineRule="auto"/>
              <w:jc w:val="center"/>
              <w:rPr>
                <w:rFonts w:ascii="Times New Roman" w:hAnsi="Times New Roman"/>
                <w:b/>
                <w:sz w:val="24"/>
                <w:szCs w:val="24"/>
              </w:rPr>
            </w:pPr>
            <w:r w:rsidRPr="00490F70">
              <w:rPr>
                <w:rFonts w:ascii="Times New Roman" w:hAnsi="Times New Roman"/>
                <w:b/>
                <w:sz w:val="24"/>
                <w:szCs w:val="24"/>
              </w:rPr>
              <w:t>Category</w:t>
            </w:r>
          </w:p>
        </w:tc>
        <w:tc>
          <w:tcPr>
            <w:tcW w:w="2636" w:type="dxa"/>
          </w:tcPr>
          <w:p w:rsidR="008E7AE0" w:rsidRPr="00490F70" w:rsidRDefault="008E7AE0" w:rsidP="00C74B80">
            <w:pPr>
              <w:spacing w:line="360" w:lineRule="auto"/>
              <w:jc w:val="center"/>
              <w:rPr>
                <w:rFonts w:ascii="Times New Roman" w:hAnsi="Times New Roman"/>
                <w:b/>
                <w:sz w:val="24"/>
                <w:szCs w:val="24"/>
              </w:rPr>
            </w:pPr>
            <w:r w:rsidRPr="00490F70">
              <w:rPr>
                <w:rFonts w:ascii="Times New Roman" w:hAnsi="Times New Roman"/>
                <w:b/>
                <w:sz w:val="24"/>
                <w:szCs w:val="24"/>
              </w:rPr>
              <w:t>No. of  Respondents</w:t>
            </w:r>
          </w:p>
        </w:tc>
        <w:tc>
          <w:tcPr>
            <w:tcW w:w="2636" w:type="dxa"/>
          </w:tcPr>
          <w:p w:rsidR="008E7AE0" w:rsidRPr="00490F70" w:rsidRDefault="008E7AE0" w:rsidP="00C74B80">
            <w:pPr>
              <w:spacing w:line="360" w:lineRule="auto"/>
              <w:jc w:val="center"/>
              <w:rPr>
                <w:rFonts w:ascii="Times New Roman" w:hAnsi="Times New Roman"/>
                <w:b/>
                <w:sz w:val="24"/>
                <w:szCs w:val="24"/>
              </w:rPr>
            </w:pPr>
            <w:r w:rsidRPr="00490F70">
              <w:rPr>
                <w:rFonts w:ascii="Times New Roman" w:hAnsi="Times New Roman"/>
                <w:b/>
                <w:sz w:val="24"/>
                <w:szCs w:val="24"/>
              </w:rPr>
              <w:t>Percentage</w:t>
            </w:r>
          </w:p>
        </w:tc>
      </w:tr>
      <w:tr w:rsidR="008E7AE0" w:rsidRPr="00490F70" w:rsidTr="00651C15">
        <w:trPr>
          <w:trHeight w:val="395"/>
          <w:jc w:val="center"/>
        </w:trPr>
        <w:tc>
          <w:tcPr>
            <w:tcW w:w="2636" w:type="dxa"/>
          </w:tcPr>
          <w:p w:rsidR="008E7AE0" w:rsidRPr="00490F70" w:rsidRDefault="008E7AE0" w:rsidP="00C74B80">
            <w:pPr>
              <w:spacing w:line="360" w:lineRule="auto"/>
              <w:jc w:val="center"/>
              <w:rPr>
                <w:rFonts w:ascii="Times New Roman" w:hAnsi="Times New Roman"/>
                <w:sz w:val="24"/>
                <w:szCs w:val="24"/>
              </w:rPr>
            </w:pPr>
            <w:r>
              <w:rPr>
                <w:rFonts w:ascii="Times New Roman" w:hAnsi="Times New Roman"/>
                <w:sz w:val="24"/>
                <w:szCs w:val="24"/>
              </w:rPr>
              <w:t>Strongly disagree</w:t>
            </w:r>
          </w:p>
        </w:tc>
        <w:tc>
          <w:tcPr>
            <w:tcW w:w="2636" w:type="dxa"/>
            <w:vAlign w:val="bottom"/>
          </w:tcPr>
          <w:p w:rsidR="008E7AE0" w:rsidRPr="00490F70" w:rsidRDefault="008E7AE0" w:rsidP="00C74B80">
            <w:pPr>
              <w:spacing w:line="360" w:lineRule="auto"/>
              <w:jc w:val="center"/>
              <w:rPr>
                <w:rFonts w:ascii="Times New Roman" w:eastAsia="Times New Roman" w:hAnsi="Times New Roman"/>
                <w:color w:val="000000"/>
              </w:rPr>
            </w:pPr>
            <w:r w:rsidRPr="00490F70">
              <w:rPr>
                <w:rFonts w:ascii="Times New Roman" w:hAnsi="Times New Roman"/>
                <w:color w:val="000000"/>
              </w:rPr>
              <w:t>29</w:t>
            </w:r>
          </w:p>
        </w:tc>
        <w:tc>
          <w:tcPr>
            <w:tcW w:w="2636" w:type="dxa"/>
            <w:vAlign w:val="bottom"/>
          </w:tcPr>
          <w:p w:rsidR="008E7AE0" w:rsidRPr="00490F70" w:rsidRDefault="008E7AE0" w:rsidP="00C74B80">
            <w:pPr>
              <w:spacing w:line="360" w:lineRule="auto"/>
              <w:jc w:val="center"/>
              <w:rPr>
                <w:rFonts w:ascii="Times New Roman" w:eastAsia="Times New Roman" w:hAnsi="Times New Roman"/>
                <w:color w:val="000000"/>
              </w:rPr>
            </w:pPr>
            <w:r w:rsidRPr="00490F70">
              <w:rPr>
                <w:rFonts w:ascii="Times New Roman" w:hAnsi="Times New Roman"/>
                <w:color w:val="000000"/>
              </w:rPr>
              <w:t>29</w:t>
            </w:r>
          </w:p>
        </w:tc>
      </w:tr>
      <w:tr w:rsidR="008E7AE0" w:rsidRPr="00490F70" w:rsidTr="00651C15">
        <w:trPr>
          <w:trHeight w:val="410"/>
          <w:jc w:val="center"/>
        </w:trPr>
        <w:tc>
          <w:tcPr>
            <w:tcW w:w="2636" w:type="dxa"/>
          </w:tcPr>
          <w:p w:rsidR="008E7AE0" w:rsidRPr="00490F70" w:rsidRDefault="008E7AE0" w:rsidP="00C74B80">
            <w:pPr>
              <w:spacing w:line="360" w:lineRule="auto"/>
              <w:jc w:val="center"/>
              <w:rPr>
                <w:rFonts w:ascii="Times New Roman" w:hAnsi="Times New Roman"/>
                <w:sz w:val="24"/>
                <w:szCs w:val="24"/>
              </w:rPr>
            </w:pPr>
            <w:r>
              <w:rPr>
                <w:rFonts w:ascii="Times New Roman" w:hAnsi="Times New Roman"/>
                <w:sz w:val="24"/>
                <w:szCs w:val="24"/>
              </w:rPr>
              <w:t>Disagree</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40</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40</w:t>
            </w:r>
          </w:p>
        </w:tc>
      </w:tr>
      <w:tr w:rsidR="008E7AE0" w:rsidRPr="00490F70" w:rsidTr="00651C15">
        <w:trPr>
          <w:trHeight w:val="410"/>
          <w:jc w:val="center"/>
        </w:trPr>
        <w:tc>
          <w:tcPr>
            <w:tcW w:w="2636" w:type="dxa"/>
          </w:tcPr>
          <w:p w:rsidR="008E7AE0" w:rsidRPr="00490F70" w:rsidRDefault="008E7AE0" w:rsidP="00C74B80">
            <w:pPr>
              <w:spacing w:line="360" w:lineRule="auto"/>
              <w:jc w:val="center"/>
              <w:rPr>
                <w:rFonts w:ascii="Times New Roman" w:hAnsi="Times New Roman"/>
                <w:sz w:val="24"/>
                <w:szCs w:val="24"/>
              </w:rPr>
            </w:pPr>
            <w:r>
              <w:rPr>
                <w:rFonts w:ascii="Times New Roman" w:hAnsi="Times New Roman"/>
                <w:sz w:val="24"/>
                <w:szCs w:val="24"/>
              </w:rPr>
              <w:t>Neutral</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17</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17</w:t>
            </w:r>
          </w:p>
        </w:tc>
      </w:tr>
      <w:tr w:rsidR="008E7AE0" w:rsidRPr="00490F70" w:rsidTr="00651C15">
        <w:trPr>
          <w:trHeight w:val="410"/>
          <w:jc w:val="center"/>
        </w:trPr>
        <w:tc>
          <w:tcPr>
            <w:tcW w:w="2636" w:type="dxa"/>
          </w:tcPr>
          <w:p w:rsidR="008E7AE0" w:rsidRPr="00490F70" w:rsidRDefault="008E7AE0" w:rsidP="00C74B80">
            <w:pPr>
              <w:spacing w:line="360" w:lineRule="auto"/>
              <w:jc w:val="center"/>
              <w:rPr>
                <w:rFonts w:ascii="Times New Roman" w:hAnsi="Times New Roman"/>
                <w:sz w:val="24"/>
                <w:szCs w:val="24"/>
              </w:rPr>
            </w:pPr>
            <w:r>
              <w:rPr>
                <w:rFonts w:ascii="Times New Roman" w:hAnsi="Times New Roman"/>
                <w:sz w:val="24"/>
                <w:szCs w:val="24"/>
              </w:rPr>
              <w:t>Agree</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9</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9</w:t>
            </w:r>
          </w:p>
        </w:tc>
      </w:tr>
      <w:tr w:rsidR="008E7AE0" w:rsidRPr="00490F70" w:rsidTr="00651C15">
        <w:trPr>
          <w:trHeight w:val="410"/>
          <w:jc w:val="center"/>
        </w:trPr>
        <w:tc>
          <w:tcPr>
            <w:tcW w:w="2636" w:type="dxa"/>
          </w:tcPr>
          <w:p w:rsidR="008E7AE0" w:rsidRPr="00490F70" w:rsidRDefault="008E7AE0" w:rsidP="00C74B80">
            <w:pPr>
              <w:spacing w:line="360" w:lineRule="auto"/>
              <w:jc w:val="center"/>
              <w:rPr>
                <w:rFonts w:ascii="Times New Roman" w:hAnsi="Times New Roman"/>
                <w:sz w:val="24"/>
                <w:szCs w:val="24"/>
              </w:rPr>
            </w:pPr>
            <w:r>
              <w:rPr>
                <w:rFonts w:ascii="Times New Roman" w:hAnsi="Times New Roman"/>
                <w:sz w:val="24"/>
                <w:szCs w:val="24"/>
              </w:rPr>
              <w:t>Strongly agree</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5</w:t>
            </w:r>
          </w:p>
        </w:tc>
        <w:tc>
          <w:tcPr>
            <w:tcW w:w="2636" w:type="dxa"/>
            <w:vAlign w:val="bottom"/>
          </w:tcPr>
          <w:p w:rsidR="008E7AE0" w:rsidRPr="00490F70" w:rsidRDefault="008E7AE0" w:rsidP="00C74B80">
            <w:pPr>
              <w:spacing w:line="360" w:lineRule="auto"/>
              <w:jc w:val="center"/>
              <w:rPr>
                <w:rFonts w:ascii="Times New Roman" w:hAnsi="Times New Roman"/>
                <w:color w:val="000000"/>
              </w:rPr>
            </w:pPr>
            <w:r w:rsidRPr="00490F70">
              <w:rPr>
                <w:rFonts w:ascii="Times New Roman" w:hAnsi="Times New Roman"/>
                <w:color w:val="000000"/>
              </w:rPr>
              <w:t>5</w:t>
            </w:r>
          </w:p>
        </w:tc>
      </w:tr>
      <w:tr w:rsidR="008E7AE0" w:rsidRPr="00490F70" w:rsidTr="00651C15">
        <w:trPr>
          <w:trHeight w:val="410"/>
          <w:jc w:val="center"/>
        </w:trPr>
        <w:tc>
          <w:tcPr>
            <w:tcW w:w="2636" w:type="dxa"/>
          </w:tcPr>
          <w:p w:rsidR="008E7AE0" w:rsidRPr="00490F70" w:rsidRDefault="008E7AE0" w:rsidP="00C74B80">
            <w:pPr>
              <w:spacing w:line="360" w:lineRule="auto"/>
              <w:jc w:val="center"/>
              <w:rPr>
                <w:rFonts w:ascii="Times New Roman" w:hAnsi="Times New Roman"/>
                <w:b/>
                <w:sz w:val="24"/>
                <w:szCs w:val="24"/>
              </w:rPr>
            </w:pPr>
            <w:r w:rsidRPr="00490F70">
              <w:rPr>
                <w:rFonts w:ascii="Times New Roman" w:hAnsi="Times New Roman"/>
                <w:b/>
                <w:sz w:val="24"/>
                <w:szCs w:val="24"/>
              </w:rPr>
              <w:t>Total</w:t>
            </w:r>
          </w:p>
        </w:tc>
        <w:tc>
          <w:tcPr>
            <w:tcW w:w="2636" w:type="dxa"/>
          </w:tcPr>
          <w:p w:rsidR="008E7AE0" w:rsidRPr="00490F70" w:rsidRDefault="008E7AE0" w:rsidP="00C74B80">
            <w:pPr>
              <w:spacing w:line="360" w:lineRule="auto"/>
              <w:jc w:val="center"/>
              <w:rPr>
                <w:rFonts w:ascii="Times New Roman" w:hAnsi="Times New Roman"/>
                <w:b/>
                <w:sz w:val="24"/>
                <w:szCs w:val="24"/>
              </w:rPr>
            </w:pPr>
            <w:r w:rsidRPr="00490F70">
              <w:rPr>
                <w:rFonts w:ascii="Times New Roman" w:hAnsi="Times New Roman"/>
                <w:b/>
                <w:sz w:val="24"/>
                <w:szCs w:val="24"/>
              </w:rPr>
              <w:t>100</w:t>
            </w:r>
          </w:p>
        </w:tc>
        <w:tc>
          <w:tcPr>
            <w:tcW w:w="2636" w:type="dxa"/>
          </w:tcPr>
          <w:p w:rsidR="008E7AE0" w:rsidRPr="00490F70" w:rsidRDefault="008E7AE0" w:rsidP="00C74B80">
            <w:pPr>
              <w:spacing w:line="360" w:lineRule="auto"/>
              <w:jc w:val="center"/>
              <w:rPr>
                <w:rFonts w:ascii="Times New Roman" w:hAnsi="Times New Roman"/>
                <w:b/>
                <w:sz w:val="24"/>
                <w:szCs w:val="24"/>
              </w:rPr>
            </w:pPr>
            <w:r w:rsidRPr="00490F70">
              <w:rPr>
                <w:rFonts w:ascii="Times New Roman" w:hAnsi="Times New Roman"/>
                <w:b/>
                <w:sz w:val="24"/>
                <w:szCs w:val="24"/>
              </w:rPr>
              <w:t>100</w:t>
            </w:r>
          </w:p>
        </w:tc>
      </w:tr>
    </w:tbl>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NO.4.1</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b/>
          <w:sz w:val="24"/>
          <w:szCs w:val="24"/>
        </w:rPr>
        <w:t xml:space="preserve">CHARGING STATIONS CONTRIBUTE TO USER SAFETY FOR ELECTRIC VEHICLE CHARGING </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b/>
          <w:noProof/>
          <w:sz w:val="24"/>
          <w:szCs w:val="24"/>
          <w:lang w:eastAsia="en-IN" w:bidi="ml-IN"/>
        </w:rPr>
        <w:drawing>
          <wp:inline distT="0" distB="0" distL="0" distR="0" wp14:anchorId="0622A493" wp14:editId="7A10437C">
            <wp:extent cx="5037221" cy="1491916"/>
            <wp:effectExtent l="0" t="0" r="11430" b="1333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Pr>
          <w:rFonts w:ascii="Times New Roman" w:hAnsi="Times New Roman"/>
          <w:sz w:val="24"/>
          <w:szCs w:val="24"/>
        </w:rPr>
        <w:t xml:space="preserve">Table No.4. </w:t>
      </w:r>
      <w:r w:rsidRPr="00490F70">
        <w:rPr>
          <w:rFonts w:ascii="Times New Roman" w:hAnsi="Times New Roman"/>
          <w:sz w:val="24"/>
          <w:szCs w:val="24"/>
        </w:rPr>
        <w:t>shows that</w:t>
      </w:r>
      <w:r>
        <w:rPr>
          <w:rFonts w:ascii="Times New Roman" w:hAnsi="Times New Roman"/>
          <w:sz w:val="24"/>
          <w:szCs w:val="24"/>
        </w:rPr>
        <w:t xml:space="preserve"> 29% of the respondents strongly disagreed that charging stations contribute to user safety for electric vehicle charging. 40% disagreed, 17% of them have neutral opinion and 9% of the respondents agreed that charging stations contribute to user safety for electric vehicle charging. 5% of the respondents strongly agreed with the statement.  </w:t>
      </w:r>
    </w:p>
    <w:p w:rsidR="008E7AE0" w:rsidRDefault="008E7AE0"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NO.4.2</w:t>
      </w:r>
    </w:p>
    <w:p w:rsidR="008E7AE0" w:rsidRPr="00490F70" w:rsidRDefault="008E7AE0" w:rsidP="00C74B80">
      <w:pPr>
        <w:spacing w:after="0" w:line="360" w:lineRule="auto"/>
        <w:jc w:val="center"/>
        <w:rPr>
          <w:rFonts w:ascii="Times New Roman" w:hAnsi="Times New Roman"/>
          <w:b/>
          <w:sz w:val="24"/>
          <w:szCs w:val="24"/>
        </w:rPr>
      </w:pPr>
      <w:r w:rsidRPr="00B50C96">
        <w:rPr>
          <w:rFonts w:ascii="Times New Roman" w:hAnsi="Times New Roman"/>
          <w:b/>
          <w:bCs/>
          <w:sz w:val="24"/>
          <w:szCs w:val="24"/>
        </w:rPr>
        <w:t>EFFECTIVE SIGNAGE AND MARKINGS AT CHARGING STATIONS ENHANCE SAFETY MEASURES</w:t>
      </w:r>
    </w:p>
    <w:tbl>
      <w:tblPr>
        <w:tblW w:w="8670" w:type="dxa"/>
        <w:jc w:val="center"/>
        <w:tblLook w:val="04A0" w:firstRow="1" w:lastRow="0" w:firstColumn="1" w:lastColumn="0" w:noHBand="0" w:noVBand="1"/>
      </w:tblPr>
      <w:tblGrid>
        <w:gridCol w:w="3160"/>
        <w:gridCol w:w="3168"/>
        <w:gridCol w:w="2342"/>
      </w:tblGrid>
      <w:tr w:rsidR="008E7AE0" w:rsidRPr="00490F70" w:rsidTr="00651C15">
        <w:trPr>
          <w:trHeight w:val="389"/>
          <w:jc w:val="center"/>
        </w:trPr>
        <w:tc>
          <w:tcPr>
            <w:tcW w:w="31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168"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42"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443"/>
          <w:jc w:val="center"/>
        </w:trPr>
        <w:tc>
          <w:tcPr>
            <w:tcW w:w="316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16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w:t>
            </w:r>
          </w:p>
        </w:tc>
        <w:tc>
          <w:tcPr>
            <w:tcW w:w="234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w:t>
            </w:r>
          </w:p>
        </w:tc>
      </w:tr>
      <w:tr w:rsidR="008E7AE0" w:rsidRPr="00490F70" w:rsidTr="00651C15">
        <w:trPr>
          <w:trHeight w:val="389"/>
          <w:jc w:val="center"/>
        </w:trPr>
        <w:tc>
          <w:tcPr>
            <w:tcW w:w="316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16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28</w:t>
            </w:r>
          </w:p>
        </w:tc>
        <w:tc>
          <w:tcPr>
            <w:tcW w:w="234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28</w:t>
            </w:r>
          </w:p>
        </w:tc>
      </w:tr>
      <w:tr w:rsidR="008E7AE0" w:rsidRPr="00490F70" w:rsidTr="00651C15">
        <w:trPr>
          <w:trHeight w:val="389"/>
          <w:jc w:val="center"/>
        </w:trPr>
        <w:tc>
          <w:tcPr>
            <w:tcW w:w="316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16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234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389"/>
          <w:jc w:val="center"/>
        </w:trPr>
        <w:tc>
          <w:tcPr>
            <w:tcW w:w="316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16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25</w:t>
            </w:r>
          </w:p>
        </w:tc>
        <w:tc>
          <w:tcPr>
            <w:tcW w:w="234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25</w:t>
            </w:r>
          </w:p>
        </w:tc>
      </w:tr>
      <w:tr w:rsidR="008E7AE0" w:rsidRPr="00490F70" w:rsidTr="00651C15">
        <w:trPr>
          <w:trHeight w:val="389"/>
          <w:jc w:val="center"/>
        </w:trPr>
        <w:tc>
          <w:tcPr>
            <w:tcW w:w="316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16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34</w:t>
            </w:r>
          </w:p>
        </w:tc>
        <w:tc>
          <w:tcPr>
            <w:tcW w:w="234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34</w:t>
            </w:r>
          </w:p>
        </w:tc>
      </w:tr>
      <w:tr w:rsidR="008E7AE0" w:rsidRPr="00490F70" w:rsidTr="00651C15">
        <w:trPr>
          <w:trHeight w:val="389"/>
          <w:jc w:val="center"/>
        </w:trPr>
        <w:tc>
          <w:tcPr>
            <w:tcW w:w="3160"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168"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42"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NO.4.2</w:t>
      </w:r>
    </w:p>
    <w:p w:rsidR="008E7AE0" w:rsidRPr="00490F70" w:rsidRDefault="008E7AE0" w:rsidP="00C74B80">
      <w:pPr>
        <w:spacing w:after="0" w:line="360" w:lineRule="auto"/>
        <w:jc w:val="center"/>
        <w:rPr>
          <w:rFonts w:ascii="Times New Roman" w:hAnsi="Times New Roman"/>
          <w:b/>
          <w:sz w:val="24"/>
          <w:szCs w:val="24"/>
        </w:rPr>
      </w:pPr>
      <w:r w:rsidRPr="00B50C96">
        <w:rPr>
          <w:rFonts w:ascii="Times New Roman" w:hAnsi="Times New Roman"/>
          <w:b/>
          <w:bCs/>
          <w:sz w:val="24"/>
          <w:szCs w:val="24"/>
        </w:rPr>
        <w:t>EFFECTIVE SIGNAGE AND MARKINGS AT CHARGING STATIONS ENHANCE SAFETY MEASURES</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5CF9F311" wp14:editId="7BEEB94D">
            <wp:extent cx="5325979" cy="1780674"/>
            <wp:effectExtent l="0" t="0" r="8255" b="1016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E7AE0" w:rsidRPr="00490F70" w:rsidRDefault="008E7AE0" w:rsidP="00C74B80">
      <w:pPr>
        <w:spacing w:after="0" w:line="360" w:lineRule="auto"/>
        <w:jc w:val="center"/>
        <w:rPr>
          <w:rFonts w:ascii="Times New Roman" w:hAnsi="Times New Roman"/>
          <w:b/>
          <w:sz w:val="12"/>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 xml:space="preserve">3% of the respondents strongly disagreed that effective signage and markings at charging stations enhance safety measures while 28% of the respondents disagreed with it. 10% of the respondents have neutral opinion. 25% of the respondents agreed with the statement. 34% of the respondents strongly agreed that effective signage and marking at charging stations enhance safety measures. </w:t>
      </w:r>
    </w:p>
    <w:p w:rsidR="008E7AE0" w:rsidRDefault="008E7AE0" w:rsidP="00C74B80">
      <w:pPr>
        <w:spacing w:after="0" w:line="360" w:lineRule="auto"/>
        <w:jc w:val="both"/>
        <w:rPr>
          <w:rFonts w:ascii="Times New Roman" w:hAnsi="Times New Roman"/>
          <w:sz w:val="24"/>
          <w:szCs w:val="24"/>
        </w:rPr>
      </w:pPr>
    </w:p>
    <w:p w:rsidR="005B4851" w:rsidRDefault="005B4851" w:rsidP="00C74B80">
      <w:pPr>
        <w:spacing w:after="0" w:line="360" w:lineRule="auto"/>
        <w:jc w:val="center"/>
        <w:rPr>
          <w:rFonts w:ascii="Times New Roman" w:hAnsi="Times New Roman"/>
          <w:b/>
          <w:sz w:val="24"/>
          <w:szCs w:val="24"/>
        </w:rPr>
      </w:pPr>
    </w:p>
    <w:p w:rsidR="005B4851" w:rsidRDefault="005B4851" w:rsidP="00C74B80">
      <w:pPr>
        <w:spacing w:after="0" w:line="360" w:lineRule="auto"/>
        <w:jc w:val="center"/>
        <w:rPr>
          <w:rFonts w:ascii="Times New Roman" w:hAnsi="Times New Roman"/>
          <w:b/>
          <w:sz w:val="24"/>
          <w:szCs w:val="24"/>
        </w:rPr>
      </w:pP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NO.4.3</w:t>
      </w:r>
    </w:p>
    <w:p w:rsidR="008E7AE0" w:rsidRPr="00490F70" w:rsidRDefault="008E7AE0" w:rsidP="00C74B80">
      <w:pPr>
        <w:spacing w:after="0" w:line="360" w:lineRule="auto"/>
        <w:jc w:val="center"/>
        <w:rPr>
          <w:rFonts w:ascii="Times New Roman" w:hAnsi="Times New Roman"/>
          <w:b/>
          <w:sz w:val="24"/>
          <w:szCs w:val="24"/>
        </w:rPr>
      </w:pPr>
      <w:r w:rsidRPr="008E4096">
        <w:rPr>
          <w:rFonts w:ascii="Times New Roman" w:hAnsi="Times New Roman"/>
          <w:b/>
          <w:sz w:val="24"/>
          <w:szCs w:val="24"/>
        </w:rPr>
        <w:t>REGULAR MAINTENANCE OF CHARGING INFRASTRUCTURE REDUCES SAFETY RISKS</w:t>
      </w:r>
    </w:p>
    <w:tbl>
      <w:tblPr>
        <w:tblW w:w="8561" w:type="dxa"/>
        <w:jc w:val="center"/>
        <w:tblLook w:val="04A0" w:firstRow="1" w:lastRow="0" w:firstColumn="1" w:lastColumn="0" w:noHBand="0" w:noVBand="1"/>
      </w:tblPr>
      <w:tblGrid>
        <w:gridCol w:w="3570"/>
        <w:gridCol w:w="3041"/>
        <w:gridCol w:w="1950"/>
      </w:tblGrid>
      <w:tr w:rsidR="008E7AE0" w:rsidRPr="00490F70" w:rsidTr="00651C15">
        <w:trPr>
          <w:trHeight w:val="383"/>
          <w:jc w:val="center"/>
        </w:trPr>
        <w:tc>
          <w:tcPr>
            <w:tcW w:w="35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041"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1950"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83"/>
          <w:jc w:val="center"/>
        </w:trPr>
        <w:tc>
          <w:tcPr>
            <w:tcW w:w="357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04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195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83"/>
          <w:jc w:val="center"/>
        </w:trPr>
        <w:tc>
          <w:tcPr>
            <w:tcW w:w="357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04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c>
          <w:tcPr>
            <w:tcW w:w="195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r>
      <w:tr w:rsidR="008E7AE0" w:rsidRPr="00490F70" w:rsidTr="00651C15">
        <w:trPr>
          <w:trHeight w:val="383"/>
          <w:jc w:val="center"/>
        </w:trPr>
        <w:tc>
          <w:tcPr>
            <w:tcW w:w="357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04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14</w:t>
            </w:r>
          </w:p>
        </w:tc>
        <w:tc>
          <w:tcPr>
            <w:tcW w:w="195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14</w:t>
            </w:r>
          </w:p>
        </w:tc>
      </w:tr>
      <w:tr w:rsidR="008E7AE0" w:rsidRPr="00490F70" w:rsidTr="00651C15">
        <w:trPr>
          <w:trHeight w:val="383"/>
          <w:jc w:val="center"/>
        </w:trPr>
        <w:tc>
          <w:tcPr>
            <w:tcW w:w="357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04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c>
          <w:tcPr>
            <w:tcW w:w="195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r>
      <w:tr w:rsidR="008E7AE0" w:rsidRPr="00490F70" w:rsidTr="00651C15">
        <w:trPr>
          <w:trHeight w:val="383"/>
          <w:jc w:val="center"/>
        </w:trPr>
        <w:tc>
          <w:tcPr>
            <w:tcW w:w="3570"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04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64</w:t>
            </w:r>
          </w:p>
        </w:tc>
        <w:tc>
          <w:tcPr>
            <w:tcW w:w="195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64</w:t>
            </w:r>
          </w:p>
        </w:tc>
      </w:tr>
      <w:tr w:rsidR="008E7AE0" w:rsidRPr="00490F70" w:rsidTr="00651C15">
        <w:trPr>
          <w:trHeight w:val="383"/>
          <w:jc w:val="center"/>
        </w:trPr>
        <w:tc>
          <w:tcPr>
            <w:tcW w:w="3570"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041"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1950"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NO.4.3</w:t>
      </w:r>
    </w:p>
    <w:p w:rsidR="008E7AE0" w:rsidRPr="00490F70" w:rsidRDefault="008E7AE0" w:rsidP="00C74B80">
      <w:pPr>
        <w:spacing w:after="0" w:line="360" w:lineRule="auto"/>
        <w:jc w:val="center"/>
        <w:rPr>
          <w:rFonts w:ascii="Times New Roman" w:hAnsi="Times New Roman"/>
          <w:b/>
          <w:sz w:val="24"/>
          <w:szCs w:val="24"/>
        </w:rPr>
      </w:pPr>
      <w:r w:rsidRPr="008E4096">
        <w:rPr>
          <w:rFonts w:ascii="Times New Roman" w:hAnsi="Times New Roman"/>
          <w:b/>
          <w:sz w:val="24"/>
          <w:szCs w:val="24"/>
        </w:rPr>
        <w:t>REGULAR MAINTENANCE OF CHARGING INFRASTRUCTURE REDUCES SAFETY RISKS</w:t>
      </w:r>
    </w:p>
    <w:p w:rsidR="008E7AE0" w:rsidRPr="00490F70" w:rsidRDefault="008E7AE0" w:rsidP="00C74B80">
      <w:pPr>
        <w:spacing w:after="0" w:line="360" w:lineRule="auto"/>
        <w:jc w:val="center"/>
        <w:rPr>
          <w:rFonts w:ascii="Times New Roman" w:hAnsi="Times New Roman"/>
          <w:sz w:val="24"/>
          <w:szCs w:val="24"/>
        </w:rPr>
      </w:pPr>
      <w:r w:rsidRPr="00490F70">
        <w:rPr>
          <w:rFonts w:ascii="Times New Roman" w:hAnsi="Times New Roman"/>
          <w:noProof/>
          <w:sz w:val="24"/>
          <w:szCs w:val="24"/>
          <w:lang w:eastAsia="en-IN" w:bidi="ml-IN"/>
        </w:rPr>
        <w:drawing>
          <wp:inline distT="0" distB="0" distL="0" distR="0" wp14:anchorId="1047AEEB" wp14:editId="290E2F3C">
            <wp:extent cx="5261810" cy="1941094"/>
            <wp:effectExtent l="0" t="0" r="15240" b="25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E7AE0" w:rsidRPr="00490F70" w:rsidRDefault="008E7AE0" w:rsidP="00C74B80">
      <w:pPr>
        <w:spacing w:after="0" w:line="360" w:lineRule="auto"/>
        <w:jc w:val="center"/>
        <w:rPr>
          <w:rFonts w:ascii="Times New Roman" w:hAnsi="Times New Roman"/>
          <w:sz w:val="16"/>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2</w:t>
      </w:r>
      <w:r w:rsidRPr="00490F70">
        <w:rPr>
          <w:rFonts w:ascii="Times New Roman" w:hAnsi="Times New Roman"/>
          <w:sz w:val="24"/>
          <w:szCs w:val="24"/>
        </w:rPr>
        <w:t xml:space="preserve">% of the respondents </w:t>
      </w:r>
      <w:r>
        <w:rPr>
          <w:rFonts w:ascii="Times New Roman" w:hAnsi="Times New Roman"/>
          <w:sz w:val="24"/>
          <w:szCs w:val="24"/>
        </w:rPr>
        <w:t xml:space="preserve">disagreed that regular maintenance of charging infrastructure reduces safety risks. 14% of the respondents have neutral opinion. 20% of them agreed and 64% of the respondents strongly agreed that regular maintenance of charging infrastructure reduces safety risks. </w:t>
      </w:r>
    </w:p>
    <w:p w:rsidR="008E7AE0" w:rsidRDefault="008E7AE0" w:rsidP="00C74B80">
      <w:pPr>
        <w:spacing w:after="0" w:line="360" w:lineRule="auto"/>
        <w:jc w:val="both"/>
        <w:rPr>
          <w:rFonts w:ascii="Times New Roman" w:hAnsi="Times New Roman"/>
          <w:sz w:val="24"/>
          <w:szCs w:val="24"/>
        </w:rPr>
      </w:pPr>
    </w:p>
    <w:p w:rsidR="005B4851" w:rsidRDefault="005B4851" w:rsidP="00C74B80">
      <w:pPr>
        <w:spacing w:after="0" w:line="360" w:lineRule="auto"/>
        <w:jc w:val="center"/>
        <w:rPr>
          <w:rFonts w:ascii="Times New Roman" w:hAnsi="Times New Roman"/>
          <w:b/>
          <w:sz w:val="24"/>
          <w:szCs w:val="24"/>
        </w:rPr>
      </w:pPr>
    </w:p>
    <w:p w:rsidR="005B4851" w:rsidRDefault="005B4851" w:rsidP="00C74B80">
      <w:pPr>
        <w:spacing w:after="0" w:line="360" w:lineRule="auto"/>
        <w:jc w:val="center"/>
        <w:rPr>
          <w:rFonts w:ascii="Times New Roman" w:hAnsi="Times New Roman"/>
          <w:b/>
          <w:sz w:val="24"/>
          <w:szCs w:val="24"/>
        </w:rPr>
      </w:pP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NO.4.4</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b/>
          <w:bCs/>
          <w:sz w:val="24"/>
          <w:szCs w:val="24"/>
        </w:rPr>
        <w:t>PERFORMANCE APPRAISAL HELPS TO RAISE ORGANIZATION TOTAL OUTPUT</w:t>
      </w:r>
    </w:p>
    <w:tbl>
      <w:tblPr>
        <w:tblW w:w="8282" w:type="dxa"/>
        <w:jc w:val="center"/>
        <w:tblLook w:val="04A0" w:firstRow="1" w:lastRow="0" w:firstColumn="1" w:lastColumn="0" w:noHBand="0" w:noVBand="1"/>
      </w:tblPr>
      <w:tblGrid>
        <w:gridCol w:w="2754"/>
        <w:gridCol w:w="3291"/>
        <w:gridCol w:w="2237"/>
      </w:tblGrid>
      <w:tr w:rsidR="008E7AE0" w:rsidRPr="00490F70" w:rsidTr="00651C15">
        <w:trPr>
          <w:trHeight w:val="415"/>
          <w:jc w:val="center"/>
        </w:trPr>
        <w:tc>
          <w:tcPr>
            <w:tcW w:w="275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291"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237"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29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c>
          <w:tcPr>
            <w:tcW w:w="223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r>
      <w:tr w:rsidR="008E7AE0" w:rsidRPr="00490F70" w:rsidTr="00651C15">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29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8</w:t>
            </w:r>
          </w:p>
        </w:tc>
        <w:tc>
          <w:tcPr>
            <w:tcW w:w="223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8</w:t>
            </w:r>
          </w:p>
        </w:tc>
      </w:tr>
      <w:tr w:rsidR="008E7AE0" w:rsidRPr="00490F70" w:rsidTr="00651C15">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29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223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29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18</w:t>
            </w:r>
          </w:p>
        </w:tc>
        <w:tc>
          <w:tcPr>
            <w:tcW w:w="223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18</w:t>
            </w:r>
          </w:p>
        </w:tc>
      </w:tr>
      <w:tr w:rsidR="008E7AE0" w:rsidRPr="00490F70" w:rsidTr="00651C15">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29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60</w:t>
            </w:r>
          </w:p>
        </w:tc>
        <w:tc>
          <w:tcPr>
            <w:tcW w:w="223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60</w:t>
            </w:r>
          </w:p>
        </w:tc>
      </w:tr>
      <w:tr w:rsidR="008E7AE0" w:rsidRPr="00490F70" w:rsidTr="00651C15">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29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val="en-GB" w:eastAsia="en-GB"/>
              </w:rPr>
              <w:t>100</w:t>
            </w:r>
          </w:p>
        </w:tc>
        <w:tc>
          <w:tcPr>
            <w:tcW w:w="2237"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NO.4.4</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b/>
          <w:bCs/>
          <w:sz w:val="24"/>
          <w:szCs w:val="24"/>
        </w:rPr>
        <w:t>PERFORMANCE APPRAISAL HELPS TO RAISE ORGANIZATION TOTAL OUTPUT</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2036DDAD" wp14:editId="73E2F742">
            <wp:extent cx="5245100" cy="2247900"/>
            <wp:effectExtent l="0" t="0" r="1270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4</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performance appraisal helps to raise organization to total output. 8% of the respondents disagreed and 10% of the respondents have neutral opinion. 18% of the respondents agreed with the statement and 60% of the respondents strongly agreed that performance appraisal helps to raise organization to total output. </w:t>
      </w:r>
    </w:p>
    <w:p w:rsidR="005B4851" w:rsidRDefault="005B4851"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NO.4.5</w:t>
      </w:r>
    </w:p>
    <w:p w:rsidR="008E7AE0" w:rsidRPr="00490F70" w:rsidRDefault="008E7AE0" w:rsidP="00C74B80">
      <w:pPr>
        <w:spacing w:after="0" w:line="360" w:lineRule="auto"/>
        <w:jc w:val="center"/>
        <w:rPr>
          <w:rFonts w:ascii="Times New Roman" w:hAnsi="Times New Roman"/>
          <w:b/>
          <w:sz w:val="24"/>
          <w:szCs w:val="24"/>
        </w:rPr>
      </w:pPr>
      <w:r w:rsidRPr="00263572">
        <w:rPr>
          <w:rFonts w:ascii="Times New Roman" w:hAnsi="Times New Roman"/>
          <w:b/>
          <w:sz w:val="24"/>
          <w:szCs w:val="24"/>
        </w:rPr>
        <w:t>CHARGING STATIONS EQUIPPED WITH EMERGENCY RESPONSE PLANS PROVIDE ADDED SAFETY ASSURANCE</w:t>
      </w:r>
    </w:p>
    <w:tbl>
      <w:tblPr>
        <w:tblW w:w="8560" w:type="dxa"/>
        <w:jc w:val="center"/>
        <w:tblLook w:val="04A0" w:firstRow="1" w:lastRow="0" w:firstColumn="1" w:lastColumn="0" w:noHBand="0" w:noVBand="1"/>
      </w:tblPr>
      <w:tblGrid>
        <w:gridCol w:w="2984"/>
        <w:gridCol w:w="3264"/>
        <w:gridCol w:w="2312"/>
      </w:tblGrid>
      <w:tr w:rsidR="008E7AE0" w:rsidRPr="00490F70" w:rsidTr="00651C15">
        <w:trPr>
          <w:trHeight w:val="343"/>
          <w:jc w:val="center"/>
        </w:trPr>
        <w:tc>
          <w:tcPr>
            <w:tcW w:w="298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264"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12"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43"/>
          <w:jc w:val="center"/>
        </w:trPr>
        <w:tc>
          <w:tcPr>
            <w:tcW w:w="298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26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w:t>
            </w:r>
          </w:p>
        </w:tc>
        <w:tc>
          <w:tcPr>
            <w:tcW w:w="231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w:t>
            </w:r>
          </w:p>
        </w:tc>
      </w:tr>
      <w:tr w:rsidR="008E7AE0" w:rsidRPr="00490F70" w:rsidTr="00651C15">
        <w:trPr>
          <w:trHeight w:val="343"/>
          <w:jc w:val="center"/>
        </w:trPr>
        <w:tc>
          <w:tcPr>
            <w:tcW w:w="298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26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c>
          <w:tcPr>
            <w:tcW w:w="231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r>
      <w:tr w:rsidR="008E7AE0" w:rsidRPr="00490F70" w:rsidTr="00651C15">
        <w:trPr>
          <w:trHeight w:val="343"/>
          <w:jc w:val="center"/>
        </w:trPr>
        <w:tc>
          <w:tcPr>
            <w:tcW w:w="298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26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28</w:t>
            </w:r>
          </w:p>
        </w:tc>
        <w:tc>
          <w:tcPr>
            <w:tcW w:w="231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28</w:t>
            </w:r>
          </w:p>
        </w:tc>
      </w:tr>
      <w:tr w:rsidR="008E7AE0" w:rsidRPr="00490F70" w:rsidTr="00651C15">
        <w:trPr>
          <w:trHeight w:val="343"/>
          <w:jc w:val="center"/>
        </w:trPr>
        <w:tc>
          <w:tcPr>
            <w:tcW w:w="298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26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32</w:t>
            </w:r>
          </w:p>
        </w:tc>
        <w:tc>
          <w:tcPr>
            <w:tcW w:w="231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32</w:t>
            </w:r>
          </w:p>
        </w:tc>
      </w:tr>
      <w:tr w:rsidR="008E7AE0" w:rsidRPr="00490F70" w:rsidTr="00651C15">
        <w:trPr>
          <w:trHeight w:val="343"/>
          <w:jc w:val="center"/>
        </w:trPr>
        <w:tc>
          <w:tcPr>
            <w:tcW w:w="298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26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30</w:t>
            </w:r>
          </w:p>
        </w:tc>
        <w:tc>
          <w:tcPr>
            <w:tcW w:w="231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30</w:t>
            </w:r>
          </w:p>
        </w:tc>
      </w:tr>
      <w:tr w:rsidR="008E7AE0" w:rsidRPr="00490F70" w:rsidTr="00651C15">
        <w:trPr>
          <w:trHeight w:val="343"/>
          <w:jc w:val="center"/>
        </w:trPr>
        <w:tc>
          <w:tcPr>
            <w:tcW w:w="2984"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264"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12"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NO.4.5</w:t>
      </w:r>
    </w:p>
    <w:p w:rsidR="008E7AE0" w:rsidRPr="00490F70" w:rsidRDefault="008E7AE0" w:rsidP="00C74B80">
      <w:pPr>
        <w:spacing w:after="0" w:line="360" w:lineRule="auto"/>
        <w:jc w:val="center"/>
        <w:rPr>
          <w:rFonts w:ascii="Times New Roman" w:hAnsi="Times New Roman"/>
          <w:b/>
          <w:sz w:val="24"/>
          <w:szCs w:val="24"/>
        </w:rPr>
      </w:pPr>
      <w:r w:rsidRPr="00263572">
        <w:rPr>
          <w:rFonts w:ascii="Times New Roman" w:hAnsi="Times New Roman"/>
          <w:b/>
          <w:sz w:val="24"/>
          <w:szCs w:val="24"/>
        </w:rPr>
        <w:t>CHARGING STATIONS EQUIPPED WITH EMERGENCY RESPONSE PLANS PROVIDE ADDED SAFETY ASSURANCE</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65348EC5" wp14:editId="2C55F5B5">
            <wp:extent cx="5438775" cy="2044700"/>
            <wp:effectExtent l="0" t="0" r="9525" b="1270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3</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charging stations equipped with emergency response plans provide added safety assurance. 7% disagreed and 28% of the respondents have neutral opinion. 32% of the respondents agreed that charging stations equipped with emergency response plans provide added safety assurance.  30% of the respondents strongly agreed that charging stations equipped with emergency response plans provide added safety assurance.  </w:t>
      </w:r>
    </w:p>
    <w:p w:rsidR="005B4851" w:rsidRDefault="005B4851" w:rsidP="00C74B80">
      <w:pPr>
        <w:spacing w:after="0" w:line="360" w:lineRule="auto"/>
        <w:jc w:val="both"/>
        <w:rPr>
          <w:rFonts w:ascii="Times New Roman" w:hAnsi="Times New Roman"/>
          <w:sz w:val="24"/>
          <w:szCs w:val="24"/>
        </w:rPr>
      </w:pPr>
    </w:p>
    <w:p w:rsidR="005B4851" w:rsidRDefault="005B4851"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F00DB1">
        <w:rPr>
          <w:rFonts w:ascii="Times New Roman" w:hAnsi="Times New Roman"/>
          <w:b/>
          <w:sz w:val="24"/>
          <w:szCs w:val="24"/>
        </w:rPr>
        <w:t>6</w:t>
      </w:r>
    </w:p>
    <w:p w:rsidR="008E7AE0" w:rsidRPr="00490F70" w:rsidRDefault="008E7AE0" w:rsidP="00C74B80">
      <w:pPr>
        <w:spacing w:after="0" w:line="360" w:lineRule="auto"/>
        <w:jc w:val="center"/>
        <w:rPr>
          <w:rFonts w:ascii="Times New Roman" w:hAnsi="Times New Roman"/>
          <w:b/>
          <w:sz w:val="24"/>
          <w:szCs w:val="24"/>
        </w:rPr>
      </w:pPr>
      <w:r w:rsidRPr="00B804E6">
        <w:rPr>
          <w:rFonts w:ascii="Times New Roman" w:hAnsi="Times New Roman"/>
          <w:b/>
          <w:bCs/>
          <w:sz w:val="24"/>
          <w:szCs w:val="24"/>
        </w:rPr>
        <w:t>SAFETY CERTIFICATIONS FOR CHARGING EQUIPMENT ARE PIVOTAL FOR ENSURING USER SAFETY</w:t>
      </w:r>
    </w:p>
    <w:tbl>
      <w:tblPr>
        <w:tblW w:w="8192" w:type="dxa"/>
        <w:jc w:val="center"/>
        <w:tblLook w:val="04A0" w:firstRow="1" w:lastRow="0" w:firstColumn="1" w:lastColumn="0" w:noHBand="0" w:noVBand="1"/>
      </w:tblPr>
      <w:tblGrid>
        <w:gridCol w:w="2855"/>
        <w:gridCol w:w="2994"/>
        <w:gridCol w:w="2343"/>
      </w:tblGrid>
      <w:tr w:rsidR="008E7AE0" w:rsidRPr="00490F70" w:rsidTr="00651C15">
        <w:trPr>
          <w:trHeight w:val="300"/>
          <w:jc w:val="center"/>
        </w:trPr>
        <w:tc>
          <w:tcPr>
            <w:tcW w:w="285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2994"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43"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00"/>
          <w:jc w:val="center"/>
        </w:trPr>
        <w:tc>
          <w:tcPr>
            <w:tcW w:w="285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299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34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00"/>
          <w:jc w:val="center"/>
        </w:trPr>
        <w:tc>
          <w:tcPr>
            <w:tcW w:w="285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299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8</w:t>
            </w:r>
          </w:p>
        </w:tc>
        <w:tc>
          <w:tcPr>
            <w:tcW w:w="234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8</w:t>
            </w:r>
          </w:p>
        </w:tc>
      </w:tr>
      <w:tr w:rsidR="008E7AE0" w:rsidRPr="00490F70" w:rsidTr="00651C15">
        <w:trPr>
          <w:trHeight w:val="300"/>
          <w:jc w:val="center"/>
        </w:trPr>
        <w:tc>
          <w:tcPr>
            <w:tcW w:w="285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299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234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300"/>
          <w:jc w:val="center"/>
        </w:trPr>
        <w:tc>
          <w:tcPr>
            <w:tcW w:w="285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299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24</w:t>
            </w:r>
          </w:p>
        </w:tc>
        <w:tc>
          <w:tcPr>
            <w:tcW w:w="234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24</w:t>
            </w:r>
          </w:p>
        </w:tc>
      </w:tr>
      <w:tr w:rsidR="008E7AE0" w:rsidRPr="00490F70" w:rsidTr="00651C15">
        <w:trPr>
          <w:trHeight w:val="300"/>
          <w:jc w:val="center"/>
        </w:trPr>
        <w:tc>
          <w:tcPr>
            <w:tcW w:w="285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299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58</w:t>
            </w:r>
          </w:p>
        </w:tc>
        <w:tc>
          <w:tcPr>
            <w:tcW w:w="234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58</w:t>
            </w:r>
          </w:p>
        </w:tc>
      </w:tr>
      <w:tr w:rsidR="008E7AE0" w:rsidRPr="00490F70" w:rsidTr="00651C15">
        <w:trPr>
          <w:trHeight w:val="300"/>
          <w:jc w:val="center"/>
        </w:trPr>
        <w:tc>
          <w:tcPr>
            <w:tcW w:w="2855"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2994"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43"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6</w:t>
      </w:r>
    </w:p>
    <w:p w:rsidR="008E7AE0" w:rsidRPr="00490F70" w:rsidRDefault="008E7AE0" w:rsidP="00C74B80">
      <w:pPr>
        <w:spacing w:after="0" w:line="360" w:lineRule="auto"/>
        <w:jc w:val="center"/>
        <w:rPr>
          <w:rFonts w:ascii="Times New Roman" w:hAnsi="Times New Roman"/>
          <w:b/>
          <w:sz w:val="24"/>
          <w:szCs w:val="24"/>
        </w:rPr>
      </w:pPr>
      <w:r w:rsidRPr="00B804E6">
        <w:rPr>
          <w:rFonts w:ascii="Times New Roman" w:hAnsi="Times New Roman"/>
          <w:b/>
          <w:bCs/>
          <w:sz w:val="24"/>
          <w:szCs w:val="24"/>
        </w:rPr>
        <w:t>SAFETY CERTIFICATIONS FOR CHARGING EQUIPMENT ARE PIVOTAL FOR ENSURING USER SAFETY</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78BFE7EF" wp14:editId="7531AB17">
            <wp:extent cx="5165558" cy="2229852"/>
            <wp:effectExtent l="0" t="0" r="16510" b="1841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8</w:t>
      </w:r>
      <w:r w:rsidRPr="00490F70">
        <w:rPr>
          <w:rFonts w:ascii="Times New Roman" w:hAnsi="Times New Roman"/>
          <w:sz w:val="24"/>
          <w:szCs w:val="24"/>
        </w:rPr>
        <w:t xml:space="preserve">% of the respondents </w:t>
      </w:r>
      <w:r>
        <w:rPr>
          <w:rFonts w:ascii="Times New Roman" w:hAnsi="Times New Roman"/>
          <w:sz w:val="24"/>
          <w:szCs w:val="24"/>
        </w:rPr>
        <w:t xml:space="preserve">disagreed that safety certifications for charging equipment are pivotal for ensuring user safety. 10% of the respondents have neutral opinion. 24% of the respondents agreed and 58% of the respondents strongly agreed that safety certification for charging equipment are pivotal for ensuring user safety. </w:t>
      </w:r>
    </w:p>
    <w:p w:rsidR="008E7AE0" w:rsidRPr="00490F7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center"/>
        <w:rPr>
          <w:rFonts w:ascii="Times New Roman" w:hAnsi="Times New Roman"/>
          <w:b/>
          <w:sz w:val="24"/>
          <w:szCs w:val="24"/>
        </w:rPr>
      </w:pPr>
    </w:p>
    <w:p w:rsidR="00F00DB1" w:rsidRDefault="00F00DB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F00DB1">
        <w:rPr>
          <w:rFonts w:ascii="Times New Roman" w:hAnsi="Times New Roman"/>
          <w:b/>
          <w:sz w:val="24"/>
          <w:szCs w:val="24"/>
        </w:rPr>
        <w:t>7</w:t>
      </w:r>
    </w:p>
    <w:p w:rsidR="008E7AE0" w:rsidRPr="00490F70" w:rsidRDefault="008E7AE0" w:rsidP="00C74B80">
      <w:pPr>
        <w:spacing w:after="0" w:line="360" w:lineRule="auto"/>
        <w:jc w:val="center"/>
        <w:rPr>
          <w:rFonts w:ascii="Times New Roman" w:hAnsi="Times New Roman"/>
          <w:b/>
          <w:sz w:val="24"/>
          <w:szCs w:val="24"/>
        </w:rPr>
      </w:pPr>
      <w:r w:rsidRPr="00C02290">
        <w:rPr>
          <w:rFonts w:ascii="Times New Roman" w:hAnsi="Times New Roman"/>
          <w:b/>
          <w:bCs/>
          <w:sz w:val="24"/>
          <w:szCs w:val="24"/>
        </w:rPr>
        <w:t>CHARGING STATIONS OFFERING FAST-CHARGING CAPABILITIES MEET USER NEEDS EFFECTIVELY</w:t>
      </w:r>
    </w:p>
    <w:tbl>
      <w:tblPr>
        <w:tblW w:w="8044" w:type="dxa"/>
        <w:jc w:val="center"/>
        <w:tblLook w:val="04A0" w:firstRow="1" w:lastRow="0" w:firstColumn="1" w:lastColumn="0" w:noHBand="0" w:noVBand="1"/>
      </w:tblPr>
      <w:tblGrid>
        <w:gridCol w:w="2803"/>
        <w:gridCol w:w="2940"/>
        <w:gridCol w:w="2301"/>
      </w:tblGrid>
      <w:tr w:rsidR="008E7AE0" w:rsidRPr="00490F70" w:rsidTr="00651C15">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73</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73</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01"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7</w:t>
      </w:r>
    </w:p>
    <w:p w:rsidR="008E7AE0" w:rsidRPr="00490F70" w:rsidRDefault="008E7AE0" w:rsidP="00C74B80">
      <w:pPr>
        <w:spacing w:after="0" w:line="360" w:lineRule="auto"/>
        <w:jc w:val="center"/>
        <w:rPr>
          <w:rFonts w:ascii="Times New Roman" w:hAnsi="Times New Roman"/>
          <w:b/>
          <w:sz w:val="24"/>
          <w:szCs w:val="24"/>
        </w:rPr>
      </w:pPr>
      <w:r w:rsidRPr="00C02290">
        <w:rPr>
          <w:rFonts w:ascii="Times New Roman" w:hAnsi="Times New Roman"/>
          <w:b/>
          <w:bCs/>
          <w:sz w:val="24"/>
          <w:szCs w:val="24"/>
        </w:rPr>
        <w:t>CHARGING STATIONS OFFERING FAST-CHARGING CAPABILITIES MEET USER NEEDS EFFECTIVELY</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0D7D8785" wp14:editId="23C4BE07">
            <wp:extent cx="5139055" cy="2493818"/>
            <wp:effectExtent l="0" t="0" r="4445"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872362">
        <w:rPr>
          <w:rFonts w:ascii="Times New Roman" w:hAnsi="Times New Roman"/>
          <w:sz w:val="24"/>
          <w:szCs w:val="24"/>
        </w:rPr>
        <w:t xml:space="preserve">Above table and graph shows that 2% of the respondents </w:t>
      </w:r>
      <w:r>
        <w:rPr>
          <w:rFonts w:ascii="Times New Roman" w:hAnsi="Times New Roman"/>
          <w:sz w:val="24"/>
          <w:szCs w:val="24"/>
        </w:rPr>
        <w:t xml:space="preserve">disagreed that charging stations offering fast-charging capabilities meet user needs effectively.  5% of the respondents have neutral opinion.  20% of the respondents agreed and 73% of the respondents strongly agreed that charging stations offering fast-charging capabilities meet user needs effectively. </w:t>
      </w:r>
    </w:p>
    <w:p w:rsidR="008E7AE0" w:rsidRDefault="008E7AE0" w:rsidP="00C74B80">
      <w:pPr>
        <w:spacing w:after="0" w:line="360" w:lineRule="auto"/>
        <w:jc w:val="both"/>
        <w:rPr>
          <w:rFonts w:ascii="Times New Roman" w:hAnsi="Times New Roman"/>
          <w:sz w:val="24"/>
          <w:szCs w:val="24"/>
        </w:rPr>
      </w:pPr>
    </w:p>
    <w:p w:rsidR="008E7AE0" w:rsidRPr="00872362" w:rsidRDefault="008E7AE0" w:rsidP="00C74B80">
      <w:pPr>
        <w:spacing w:after="0" w:line="360" w:lineRule="auto"/>
        <w:jc w:val="both"/>
        <w:rPr>
          <w:rFonts w:ascii="Times New Roman" w:hAnsi="Times New Roman"/>
          <w:sz w:val="24"/>
          <w:szCs w:val="24"/>
        </w:rPr>
      </w:pPr>
    </w:p>
    <w:p w:rsidR="008E7AE0" w:rsidRPr="00490F70" w:rsidRDefault="00F00DB1"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NO.4.8</w:t>
      </w:r>
    </w:p>
    <w:p w:rsidR="008E7AE0" w:rsidRPr="00490F70" w:rsidRDefault="008E7AE0" w:rsidP="00C74B80">
      <w:pPr>
        <w:spacing w:after="0" w:line="360" w:lineRule="auto"/>
        <w:jc w:val="center"/>
        <w:rPr>
          <w:rFonts w:ascii="Times New Roman" w:hAnsi="Times New Roman"/>
          <w:b/>
          <w:sz w:val="24"/>
          <w:szCs w:val="24"/>
        </w:rPr>
      </w:pPr>
      <w:r w:rsidRPr="006E41CD">
        <w:rPr>
          <w:rFonts w:ascii="Times New Roman" w:hAnsi="Times New Roman"/>
          <w:b/>
          <w:bCs/>
          <w:sz w:val="24"/>
          <w:szCs w:val="24"/>
        </w:rPr>
        <w:t>RELIABILITY OF CHARGING INFRASTRUCTURE IMPACTS THE EFFECTIVENESS OF ELECTRIC VEHICLE ADOPTION</w:t>
      </w:r>
    </w:p>
    <w:tbl>
      <w:tblPr>
        <w:tblW w:w="8044" w:type="dxa"/>
        <w:jc w:val="center"/>
        <w:tblLook w:val="04A0" w:firstRow="1" w:lastRow="0" w:firstColumn="1" w:lastColumn="0" w:noHBand="0" w:noVBand="1"/>
      </w:tblPr>
      <w:tblGrid>
        <w:gridCol w:w="2803"/>
        <w:gridCol w:w="2940"/>
        <w:gridCol w:w="2301"/>
      </w:tblGrid>
      <w:tr w:rsidR="008E7AE0" w:rsidRPr="00490F70" w:rsidTr="00651C15">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13</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13</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18</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18</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26</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26</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36</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36</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01"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8</w:t>
      </w:r>
    </w:p>
    <w:p w:rsidR="008E7AE0" w:rsidRPr="00490F70" w:rsidRDefault="008E7AE0" w:rsidP="00C74B80">
      <w:pPr>
        <w:spacing w:after="0" w:line="360" w:lineRule="auto"/>
        <w:jc w:val="center"/>
        <w:rPr>
          <w:rFonts w:ascii="Times New Roman" w:hAnsi="Times New Roman"/>
          <w:b/>
          <w:sz w:val="24"/>
          <w:szCs w:val="24"/>
        </w:rPr>
      </w:pPr>
      <w:r w:rsidRPr="006E41CD">
        <w:rPr>
          <w:rFonts w:ascii="Times New Roman" w:hAnsi="Times New Roman"/>
          <w:b/>
          <w:bCs/>
          <w:sz w:val="24"/>
          <w:szCs w:val="24"/>
        </w:rPr>
        <w:t>RELIABILITY OF CHARGING INFRASTRUCTURE IMPACTS THE EFFECTIVENESS OF ELECTRIC VEHICLE ADOPTION</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4DBADBAC" wp14:editId="148A3A1E">
            <wp:extent cx="5116830" cy="2363189"/>
            <wp:effectExtent l="0" t="0" r="7620"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7</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reliability of charging infrastructure impacts the effectiveness of electric vehicle adoption. 13% of them disagreed while 18% of the respondents have neutral opinion. 26% of the respondents agreed and 36% of the respondents strongly agreed that reliability of charging infrastructure impacts the effectiveness of electric vehicle adoption.  </w:t>
      </w:r>
      <w:r w:rsidRPr="00490F70">
        <w:rPr>
          <w:rFonts w:ascii="Times New Roman" w:hAnsi="Times New Roman"/>
          <w:sz w:val="24"/>
          <w:szCs w:val="24"/>
        </w:rPr>
        <w:t xml:space="preserve">  </w:t>
      </w:r>
    </w:p>
    <w:p w:rsidR="008E7AE0" w:rsidRDefault="008E7AE0"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F00DB1">
        <w:rPr>
          <w:rFonts w:ascii="Times New Roman" w:hAnsi="Times New Roman"/>
          <w:b/>
          <w:sz w:val="24"/>
          <w:szCs w:val="24"/>
        </w:rPr>
        <w:t>9</w:t>
      </w:r>
    </w:p>
    <w:p w:rsidR="008E7AE0" w:rsidRPr="00490F70" w:rsidRDefault="008E7AE0" w:rsidP="00C74B80">
      <w:pPr>
        <w:spacing w:after="0" w:line="360" w:lineRule="auto"/>
        <w:jc w:val="center"/>
        <w:rPr>
          <w:rFonts w:ascii="Times New Roman" w:hAnsi="Times New Roman"/>
          <w:b/>
          <w:bCs/>
          <w:sz w:val="24"/>
          <w:szCs w:val="24"/>
        </w:rPr>
      </w:pPr>
      <w:r w:rsidRPr="00B63B27">
        <w:rPr>
          <w:rFonts w:ascii="Times New Roman" w:hAnsi="Times New Roman"/>
          <w:b/>
          <w:bCs/>
          <w:sz w:val="24"/>
          <w:szCs w:val="24"/>
        </w:rPr>
        <w:t>INTEGRATION OF RENEWABLE ENERGY SOURCES ENHANCES THE EFFECTIVENESS OF CHARGING INFRASTRUCTURE</w:t>
      </w:r>
    </w:p>
    <w:tbl>
      <w:tblPr>
        <w:tblW w:w="8236" w:type="dxa"/>
        <w:jc w:val="center"/>
        <w:tblLook w:val="04A0" w:firstRow="1" w:lastRow="0" w:firstColumn="1" w:lastColumn="0" w:noHBand="0" w:noVBand="1"/>
      </w:tblPr>
      <w:tblGrid>
        <w:gridCol w:w="2739"/>
        <w:gridCol w:w="3272"/>
        <w:gridCol w:w="2225"/>
      </w:tblGrid>
      <w:tr w:rsidR="008E7AE0" w:rsidRPr="00490F70" w:rsidTr="00651C15">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225"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9</w:t>
      </w:r>
    </w:p>
    <w:p w:rsidR="008E7AE0" w:rsidRPr="00490F70" w:rsidRDefault="008E7AE0" w:rsidP="00C74B80">
      <w:pPr>
        <w:spacing w:after="0" w:line="360" w:lineRule="auto"/>
        <w:jc w:val="center"/>
        <w:rPr>
          <w:rFonts w:ascii="Times New Roman" w:hAnsi="Times New Roman"/>
          <w:b/>
          <w:bCs/>
          <w:sz w:val="24"/>
          <w:szCs w:val="24"/>
        </w:rPr>
      </w:pPr>
      <w:r w:rsidRPr="00B63B27">
        <w:rPr>
          <w:rFonts w:ascii="Times New Roman" w:hAnsi="Times New Roman"/>
          <w:b/>
          <w:bCs/>
          <w:sz w:val="24"/>
          <w:szCs w:val="24"/>
        </w:rPr>
        <w:t>INTEGRATION OF RENEWABLE ENERGY SOURCES ENHANCES THE EFFECTIVENESS OF CHARGING INFRASTRUCTURE</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15E44234" wp14:editId="70CC8C4B">
            <wp:extent cx="5293894" cy="2149642"/>
            <wp:effectExtent l="0" t="0" r="2540" b="317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E7AE0" w:rsidRPr="00490F70" w:rsidRDefault="008E7AE0"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the entire respondents </w:t>
      </w:r>
      <w:r>
        <w:rPr>
          <w:rFonts w:ascii="Times New Roman" w:hAnsi="Times New Roman"/>
          <w:sz w:val="24"/>
          <w:szCs w:val="24"/>
        </w:rPr>
        <w:t xml:space="preserve">strongly agreed that integration of renewable energy sources enhances the effectiveness of charging infrastructure. </w:t>
      </w:r>
      <w:r w:rsidRPr="00490F70">
        <w:rPr>
          <w:rFonts w:ascii="Times New Roman" w:hAnsi="Times New Roman"/>
          <w:sz w:val="24"/>
          <w:szCs w:val="24"/>
        </w:rPr>
        <w:t xml:space="preserve"> </w:t>
      </w:r>
    </w:p>
    <w:p w:rsidR="008E7AE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both"/>
        <w:rPr>
          <w:rFonts w:ascii="Times New Roman" w:hAnsi="Times New Roman"/>
          <w:sz w:val="24"/>
          <w:szCs w:val="24"/>
        </w:rPr>
      </w:pPr>
    </w:p>
    <w:p w:rsidR="005B4851" w:rsidRPr="00490F70" w:rsidRDefault="005B4851"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F00DB1">
        <w:rPr>
          <w:rFonts w:ascii="Times New Roman" w:hAnsi="Times New Roman"/>
          <w:b/>
          <w:sz w:val="24"/>
          <w:szCs w:val="24"/>
        </w:rPr>
        <w:t>10</w:t>
      </w:r>
    </w:p>
    <w:p w:rsidR="008E7AE0" w:rsidRPr="00490F70" w:rsidRDefault="008E7AE0" w:rsidP="00C74B80">
      <w:pPr>
        <w:spacing w:after="0" w:line="360" w:lineRule="auto"/>
        <w:jc w:val="center"/>
        <w:rPr>
          <w:rFonts w:ascii="Times New Roman" w:hAnsi="Times New Roman"/>
          <w:b/>
          <w:sz w:val="24"/>
          <w:szCs w:val="24"/>
        </w:rPr>
      </w:pPr>
      <w:r w:rsidRPr="00457D88">
        <w:rPr>
          <w:rFonts w:ascii="Times New Roman" w:hAnsi="Times New Roman"/>
          <w:b/>
          <w:sz w:val="24"/>
          <w:szCs w:val="24"/>
        </w:rPr>
        <w:t>COMPATIBILITY WITH DIVERSE ELECTRIC VEHICLE MODELS ENHANCES CHARGING STATION EFFECTIVENESS</w:t>
      </w:r>
    </w:p>
    <w:tbl>
      <w:tblPr>
        <w:tblW w:w="8236" w:type="dxa"/>
        <w:jc w:val="center"/>
        <w:tblLook w:val="04A0" w:firstRow="1" w:lastRow="0" w:firstColumn="1" w:lastColumn="0" w:noHBand="0" w:noVBand="1"/>
      </w:tblPr>
      <w:tblGrid>
        <w:gridCol w:w="2739"/>
        <w:gridCol w:w="3272"/>
        <w:gridCol w:w="2225"/>
      </w:tblGrid>
      <w:tr w:rsidR="008E7AE0" w:rsidRPr="00490F70" w:rsidTr="00651C15">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sidRPr="00490F70">
              <w:rPr>
                <w:rFonts w:ascii="Times New Roman" w:eastAsia="Times New Roman" w:hAnsi="Times New Roman"/>
                <w:color w:val="000000"/>
                <w:sz w:val="24"/>
                <w:szCs w:val="24"/>
                <w:lang w:val="en-GB" w:eastAsia="en-GB"/>
              </w:rPr>
              <w:t>3</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sidRPr="00490F70">
              <w:rPr>
                <w:rFonts w:ascii="Times New Roman" w:eastAsia="Times New Roman" w:hAnsi="Times New Roman"/>
                <w:color w:val="000000"/>
                <w:sz w:val="24"/>
                <w:szCs w:val="24"/>
                <w:lang w:val="en-GB" w:eastAsia="en-GB"/>
              </w:rPr>
              <w:t>3</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sidRPr="00490F70">
              <w:rPr>
                <w:rFonts w:ascii="Times New Roman" w:eastAsia="Times New Roman" w:hAnsi="Times New Roman"/>
                <w:color w:val="000000"/>
                <w:sz w:val="24"/>
                <w:szCs w:val="24"/>
                <w:lang w:val="en-GB" w:eastAsia="en-GB"/>
              </w:rPr>
              <w:t>30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sidRPr="00490F70">
              <w:rPr>
                <w:rFonts w:ascii="Times New Roman" w:eastAsia="Times New Roman" w:hAnsi="Times New Roman"/>
                <w:color w:val="000000"/>
                <w:sz w:val="24"/>
                <w:szCs w:val="24"/>
                <w:lang w:val="en-GB" w:eastAsia="en-GB"/>
              </w:rPr>
              <w:t>30</w:t>
            </w:r>
          </w:p>
        </w:tc>
      </w:tr>
      <w:tr w:rsidR="008E7AE0" w:rsidRPr="00490F70" w:rsidTr="00651C15">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val="en-GB" w:eastAsia="en-GB"/>
              </w:rPr>
              <w:t>100</w:t>
            </w:r>
          </w:p>
        </w:tc>
        <w:tc>
          <w:tcPr>
            <w:tcW w:w="2225"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10</w:t>
      </w:r>
    </w:p>
    <w:p w:rsidR="008E7AE0" w:rsidRPr="00490F70" w:rsidRDefault="008E7AE0" w:rsidP="00C74B80">
      <w:pPr>
        <w:spacing w:after="0" w:line="360" w:lineRule="auto"/>
        <w:jc w:val="center"/>
        <w:rPr>
          <w:rFonts w:ascii="Times New Roman" w:hAnsi="Times New Roman"/>
          <w:b/>
          <w:sz w:val="24"/>
          <w:szCs w:val="24"/>
        </w:rPr>
      </w:pPr>
      <w:r w:rsidRPr="00457D88">
        <w:rPr>
          <w:rFonts w:ascii="Times New Roman" w:hAnsi="Times New Roman"/>
          <w:b/>
          <w:sz w:val="24"/>
          <w:szCs w:val="24"/>
        </w:rPr>
        <w:t>COMPATIBILITY WITH DIVERSE ELECTRIC VEHICLE MODELS ENHANCES CHARGING STATION EFFECTIVENESS</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722F1D6B" wp14:editId="14887B99">
            <wp:extent cx="5197642" cy="2213811"/>
            <wp:effectExtent l="0" t="0" r="3175"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E7AE0" w:rsidRPr="00490F70" w:rsidRDefault="008E7AE0"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7</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compatibility with diverse electric vehicle models enhances charging station effectiveness. 3% of the respondents disagreed and 10% of the respondents have neutral opinion. 50% of the respondents agreed that compatibility with diverse electric vehicle models enhances charging station effectiveness.  30% of the respondents strongly agreed with the statement. </w:t>
      </w:r>
    </w:p>
    <w:p w:rsidR="008E7AE0" w:rsidRDefault="008E7AE0"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F00DB1">
        <w:rPr>
          <w:rFonts w:ascii="Times New Roman" w:hAnsi="Times New Roman"/>
          <w:b/>
          <w:sz w:val="24"/>
          <w:szCs w:val="24"/>
        </w:rPr>
        <w:t>11</w:t>
      </w:r>
    </w:p>
    <w:p w:rsidR="008E7AE0" w:rsidRPr="00490F70" w:rsidRDefault="008E7AE0" w:rsidP="00C74B80">
      <w:pPr>
        <w:spacing w:after="0" w:line="360" w:lineRule="auto"/>
        <w:jc w:val="center"/>
        <w:rPr>
          <w:rFonts w:ascii="Times New Roman" w:hAnsi="Times New Roman"/>
          <w:b/>
          <w:sz w:val="24"/>
          <w:szCs w:val="24"/>
        </w:rPr>
      </w:pPr>
      <w:r w:rsidRPr="0096778D">
        <w:rPr>
          <w:rFonts w:ascii="Times New Roman" w:hAnsi="Times New Roman"/>
          <w:b/>
          <w:bCs/>
          <w:sz w:val="24"/>
          <w:szCs w:val="24"/>
        </w:rPr>
        <w:t>ACCESSIBILITY OF CHARGING STATIONS IN BOTH URBAN AND RURAL AREAS IMPROVES OVERALL EFFECTIVENESS</w:t>
      </w:r>
    </w:p>
    <w:tbl>
      <w:tblPr>
        <w:tblW w:w="8044" w:type="dxa"/>
        <w:jc w:val="center"/>
        <w:tblLook w:val="04A0" w:firstRow="1" w:lastRow="0" w:firstColumn="1" w:lastColumn="0" w:noHBand="0" w:noVBand="1"/>
      </w:tblPr>
      <w:tblGrid>
        <w:gridCol w:w="2803"/>
        <w:gridCol w:w="2940"/>
        <w:gridCol w:w="2301"/>
      </w:tblGrid>
      <w:tr w:rsidR="008E7AE0" w:rsidRPr="00490F70" w:rsidTr="00651C15">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6</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6</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34</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34</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294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36</w:t>
            </w:r>
          </w:p>
        </w:tc>
        <w:tc>
          <w:tcPr>
            <w:tcW w:w="230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36</w:t>
            </w:r>
          </w:p>
        </w:tc>
      </w:tr>
      <w:tr w:rsidR="008E7AE0" w:rsidRPr="00490F70" w:rsidTr="00651C15">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01"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11</w:t>
      </w:r>
    </w:p>
    <w:p w:rsidR="008E7AE0" w:rsidRPr="00490F70" w:rsidRDefault="008E7AE0" w:rsidP="00C74B80">
      <w:pPr>
        <w:spacing w:after="0" w:line="360" w:lineRule="auto"/>
        <w:jc w:val="center"/>
        <w:rPr>
          <w:rFonts w:ascii="Times New Roman" w:hAnsi="Times New Roman"/>
          <w:b/>
          <w:sz w:val="24"/>
          <w:szCs w:val="24"/>
        </w:rPr>
      </w:pPr>
      <w:r w:rsidRPr="0096778D">
        <w:rPr>
          <w:rFonts w:ascii="Times New Roman" w:hAnsi="Times New Roman"/>
          <w:b/>
          <w:bCs/>
          <w:sz w:val="24"/>
          <w:szCs w:val="24"/>
        </w:rPr>
        <w:t>ACCESSIBILITY OF CHARGING STATIONS IN BOTH URBAN AND RURAL AREAS IMPROVES OVERALL EFFECTIVENESS</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52FA5B72" wp14:editId="69930D76">
            <wp:extent cx="5197642" cy="2197769"/>
            <wp:effectExtent l="0" t="0" r="3175"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4</w:t>
      </w:r>
      <w:r w:rsidRPr="00490F70">
        <w:rPr>
          <w:rFonts w:ascii="Times New Roman" w:hAnsi="Times New Roman"/>
          <w:sz w:val="24"/>
          <w:szCs w:val="24"/>
        </w:rPr>
        <w:t xml:space="preserve">% of the respondents </w:t>
      </w:r>
      <w:r>
        <w:rPr>
          <w:rFonts w:ascii="Times New Roman" w:hAnsi="Times New Roman"/>
          <w:sz w:val="24"/>
          <w:szCs w:val="24"/>
        </w:rPr>
        <w:t>strongly disagreed that accessibility of charging stations in both urban and rural areas improves overall effectiveness. 6% of the respondents disagreed while 20% of the respondents have neutral opinion. 34% of the respondents agreed and 36% of the respondents strongly agreed that accessibility of charging stations in both urban and rural areas improves overall effectiveness.</w:t>
      </w:r>
    </w:p>
    <w:p w:rsidR="008E7AE0" w:rsidRPr="00490F70" w:rsidRDefault="008E7AE0"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F00DB1">
        <w:rPr>
          <w:rFonts w:ascii="Times New Roman" w:hAnsi="Times New Roman"/>
          <w:b/>
          <w:sz w:val="24"/>
          <w:szCs w:val="24"/>
        </w:rPr>
        <w:t>12</w:t>
      </w:r>
    </w:p>
    <w:p w:rsidR="008E7AE0" w:rsidRPr="00490F70" w:rsidRDefault="008E7AE0" w:rsidP="00C74B80">
      <w:pPr>
        <w:spacing w:after="0" w:line="360" w:lineRule="auto"/>
        <w:jc w:val="center"/>
        <w:rPr>
          <w:rFonts w:ascii="Times New Roman" w:hAnsi="Times New Roman"/>
          <w:b/>
          <w:sz w:val="24"/>
          <w:szCs w:val="24"/>
        </w:rPr>
      </w:pPr>
      <w:r w:rsidRPr="00785FF6">
        <w:rPr>
          <w:rFonts w:ascii="Times New Roman" w:hAnsi="Times New Roman"/>
          <w:b/>
          <w:bCs/>
          <w:sz w:val="24"/>
          <w:szCs w:val="24"/>
        </w:rPr>
        <w:t>CHARGING STATION DENSITY SIGNIFICANTLY INFLUENCES ELECTRIC VEHICLE ADOPTION RATES</w:t>
      </w:r>
    </w:p>
    <w:tbl>
      <w:tblPr>
        <w:tblW w:w="8374" w:type="dxa"/>
        <w:jc w:val="center"/>
        <w:tblLook w:val="04A0" w:firstRow="1" w:lastRow="0" w:firstColumn="1" w:lastColumn="0" w:noHBand="0" w:noVBand="1"/>
      </w:tblPr>
      <w:tblGrid>
        <w:gridCol w:w="3492"/>
        <w:gridCol w:w="2975"/>
        <w:gridCol w:w="1907"/>
      </w:tblGrid>
      <w:tr w:rsidR="008E7AE0" w:rsidRPr="00490F70" w:rsidTr="00651C15">
        <w:trPr>
          <w:trHeight w:val="387"/>
          <w:jc w:val="center"/>
        </w:trPr>
        <w:tc>
          <w:tcPr>
            <w:tcW w:w="349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2975"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1907"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87"/>
          <w:jc w:val="center"/>
        </w:trPr>
        <w:tc>
          <w:tcPr>
            <w:tcW w:w="349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297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c>
          <w:tcPr>
            <w:tcW w:w="190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r>
      <w:tr w:rsidR="008E7AE0" w:rsidRPr="00490F70" w:rsidTr="00651C15">
        <w:trPr>
          <w:trHeight w:val="387"/>
          <w:jc w:val="center"/>
        </w:trPr>
        <w:tc>
          <w:tcPr>
            <w:tcW w:w="349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297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c>
          <w:tcPr>
            <w:tcW w:w="190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r>
      <w:tr w:rsidR="008E7AE0" w:rsidRPr="00490F70" w:rsidTr="00651C15">
        <w:trPr>
          <w:trHeight w:val="387"/>
          <w:jc w:val="center"/>
        </w:trPr>
        <w:tc>
          <w:tcPr>
            <w:tcW w:w="349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297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190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387"/>
          <w:jc w:val="center"/>
        </w:trPr>
        <w:tc>
          <w:tcPr>
            <w:tcW w:w="349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297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30</w:t>
            </w:r>
          </w:p>
        </w:tc>
        <w:tc>
          <w:tcPr>
            <w:tcW w:w="190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30</w:t>
            </w:r>
          </w:p>
        </w:tc>
      </w:tr>
      <w:tr w:rsidR="008E7AE0" w:rsidRPr="00490F70" w:rsidTr="00651C15">
        <w:trPr>
          <w:trHeight w:val="387"/>
          <w:jc w:val="center"/>
        </w:trPr>
        <w:tc>
          <w:tcPr>
            <w:tcW w:w="349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297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56</w:t>
            </w:r>
          </w:p>
        </w:tc>
        <w:tc>
          <w:tcPr>
            <w:tcW w:w="1907"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56</w:t>
            </w:r>
          </w:p>
        </w:tc>
      </w:tr>
      <w:tr w:rsidR="008E7AE0" w:rsidRPr="00490F70" w:rsidTr="00651C15">
        <w:trPr>
          <w:trHeight w:val="387"/>
          <w:jc w:val="center"/>
        </w:trPr>
        <w:tc>
          <w:tcPr>
            <w:tcW w:w="3492"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2975"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1907"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12</w:t>
      </w:r>
    </w:p>
    <w:p w:rsidR="008E7AE0" w:rsidRPr="00490F70" w:rsidRDefault="008E7AE0" w:rsidP="00C74B80">
      <w:pPr>
        <w:spacing w:after="0" w:line="360" w:lineRule="auto"/>
        <w:jc w:val="center"/>
        <w:rPr>
          <w:rFonts w:ascii="Times New Roman" w:hAnsi="Times New Roman"/>
          <w:b/>
          <w:sz w:val="24"/>
          <w:szCs w:val="24"/>
        </w:rPr>
      </w:pPr>
      <w:r w:rsidRPr="00785FF6">
        <w:rPr>
          <w:rFonts w:ascii="Times New Roman" w:hAnsi="Times New Roman"/>
          <w:b/>
          <w:bCs/>
          <w:sz w:val="24"/>
          <w:szCs w:val="24"/>
        </w:rPr>
        <w:t>CHARGING STATION DENSITY SIGNIFICANTLY INFLUENCES ELECTRIC VEHICLE ADOPTION RATES</w:t>
      </w:r>
    </w:p>
    <w:p w:rsidR="008E7AE0" w:rsidRPr="00490F70" w:rsidRDefault="008E7AE0" w:rsidP="00C74B80">
      <w:pPr>
        <w:spacing w:after="0" w:line="360" w:lineRule="auto"/>
        <w:jc w:val="center"/>
        <w:rPr>
          <w:rFonts w:ascii="Times New Roman" w:hAnsi="Times New Roman"/>
          <w:sz w:val="24"/>
          <w:szCs w:val="24"/>
        </w:rPr>
      </w:pPr>
      <w:r w:rsidRPr="00490F70">
        <w:rPr>
          <w:rFonts w:ascii="Times New Roman" w:hAnsi="Times New Roman"/>
          <w:noProof/>
          <w:sz w:val="24"/>
          <w:szCs w:val="24"/>
          <w:lang w:eastAsia="en-IN" w:bidi="ml-IN"/>
        </w:rPr>
        <w:drawing>
          <wp:inline distT="0" distB="0" distL="0" distR="0" wp14:anchorId="49785B08" wp14:editId="294922B7">
            <wp:extent cx="5204178" cy="2359378"/>
            <wp:effectExtent l="0" t="0" r="15875" b="31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E7AE0" w:rsidRPr="00490F70" w:rsidRDefault="008E7AE0" w:rsidP="00C74B80">
      <w:pPr>
        <w:spacing w:after="0" w:line="360" w:lineRule="auto"/>
        <w:jc w:val="center"/>
        <w:rPr>
          <w:rFonts w:ascii="Times New Roman" w:hAnsi="Times New Roman"/>
          <w:sz w:val="16"/>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2</w:t>
      </w:r>
      <w:r w:rsidRPr="00490F70">
        <w:rPr>
          <w:rFonts w:ascii="Times New Roman" w:hAnsi="Times New Roman"/>
          <w:sz w:val="24"/>
          <w:szCs w:val="24"/>
        </w:rPr>
        <w:t xml:space="preserve">% </w:t>
      </w:r>
      <w:r>
        <w:rPr>
          <w:rFonts w:ascii="Times New Roman" w:hAnsi="Times New Roman"/>
          <w:sz w:val="24"/>
          <w:szCs w:val="24"/>
        </w:rPr>
        <w:t xml:space="preserve">of the respondents strongly disagreed and another 2% of the respondents disagreed that charging station density significantly influences electric vehicle adoption rates. 10% of the respondents have neutral opinion. 30% of the respondents agreed and 56% of the respondents strongly agreed that charging station density significantly influences electric vehicles adoption rates.  </w:t>
      </w:r>
    </w:p>
    <w:p w:rsidR="008E7AE0" w:rsidRPr="00490F70" w:rsidRDefault="008E7AE0"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F00DB1">
        <w:rPr>
          <w:rFonts w:ascii="Times New Roman" w:hAnsi="Times New Roman"/>
          <w:b/>
          <w:sz w:val="24"/>
          <w:szCs w:val="24"/>
        </w:rPr>
        <w:t>13</w:t>
      </w:r>
    </w:p>
    <w:p w:rsidR="008E7AE0" w:rsidRPr="00490F70" w:rsidRDefault="008E7AE0" w:rsidP="00C74B80">
      <w:pPr>
        <w:spacing w:after="0" w:line="360" w:lineRule="auto"/>
        <w:jc w:val="center"/>
        <w:rPr>
          <w:rFonts w:ascii="Times New Roman" w:hAnsi="Times New Roman"/>
          <w:b/>
          <w:bCs/>
          <w:sz w:val="24"/>
          <w:szCs w:val="24"/>
        </w:rPr>
      </w:pPr>
      <w:r w:rsidRPr="008F3DFC">
        <w:rPr>
          <w:rFonts w:ascii="Times New Roman" w:hAnsi="Times New Roman"/>
          <w:b/>
          <w:bCs/>
          <w:sz w:val="24"/>
          <w:szCs w:val="24"/>
        </w:rPr>
        <w:t>OFFERING VARIOUS CHARGING OPTIONS CONTRIBUTES TO A ROBUST CHARGING INFRASTRUCTURE</w:t>
      </w:r>
    </w:p>
    <w:tbl>
      <w:tblPr>
        <w:tblW w:w="8356" w:type="dxa"/>
        <w:jc w:val="center"/>
        <w:tblLook w:val="04A0" w:firstRow="1" w:lastRow="0" w:firstColumn="1" w:lastColumn="0" w:noHBand="0" w:noVBand="1"/>
      </w:tblPr>
      <w:tblGrid>
        <w:gridCol w:w="2912"/>
        <w:gridCol w:w="3054"/>
        <w:gridCol w:w="2390"/>
      </w:tblGrid>
      <w:tr w:rsidR="008E7AE0" w:rsidRPr="00490F70" w:rsidTr="00651C15">
        <w:trPr>
          <w:trHeight w:val="406"/>
          <w:jc w:val="center"/>
        </w:trPr>
        <w:tc>
          <w:tcPr>
            <w:tcW w:w="291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054"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90"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406"/>
          <w:jc w:val="center"/>
        </w:trPr>
        <w:tc>
          <w:tcPr>
            <w:tcW w:w="291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05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13</w:t>
            </w:r>
          </w:p>
        </w:tc>
        <w:tc>
          <w:tcPr>
            <w:tcW w:w="239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13</w:t>
            </w:r>
          </w:p>
        </w:tc>
      </w:tr>
      <w:tr w:rsidR="008E7AE0" w:rsidRPr="00490F70" w:rsidTr="00651C15">
        <w:trPr>
          <w:trHeight w:val="406"/>
          <w:jc w:val="center"/>
        </w:trPr>
        <w:tc>
          <w:tcPr>
            <w:tcW w:w="291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05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239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406"/>
          <w:jc w:val="center"/>
        </w:trPr>
        <w:tc>
          <w:tcPr>
            <w:tcW w:w="291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05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c>
          <w:tcPr>
            <w:tcW w:w="239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r>
      <w:tr w:rsidR="008E7AE0" w:rsidRPr="00490F70" w:rsidTr="00651C15">
        <w:trPr>
          <w:trHeight w:val="406"/>
          <w:jc w:val="center"/>
        </w:trPr>
        <w:tc>
          <w:tcPr>
            <w:tcW w:w="291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05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c>
          <w:tcPr>
            <w:tcW w:w="239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r>
      <w:tr w:rsidR="008E7AE0" w:rsidRPr="00490F70" w:rsidTr="00651C15">
        <w:trPr>
          <w:trHeight w:val="406"/>
          <w:jc w:val="center"/>
        </w:trPr>
        <w:tc>
          <w:tcPr>
            <w:tcW w:w="2912"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05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c>
          <w:tcPr>
            <w:tcW w:w="239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r>
      <w:tr w:rsidR="008E7AE0" w:rsidRPr="00490F70" w:rsidTr="00651C15">
        <w:trPr>
          <w:trHeight w:val="406"/>
          <w:jc w:val="center"/>
        </w:trPr>
        <w:tc>
          <w:tcPr>
            <w:tcW w:w="2912"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054"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90"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F00DB1">
        <w:rPr>
          <w:rFonts w:ascii="Times New Roman" w:hAnsi="Times New Roman"/>
          <w:b/>
          <w:sz w:val="24"/>
          <w:szCs w:val="24"/>
        </w:rPr>
        <w:t>13</w:t>
      </w:r>
    </w:p>
    <w:p w:rsidR="008E7AE0" w:rsidRPr="00490F70" w:rsidRDefault="008E7AE0" w:rsidP="00C74B80">
      <w:pPr>
        <w:spacing w:after="0" w:line="360" w:lineRule="auto"/>
        <w:jc w:val="center"/>
        <w:rPr>
          <w:rFonts w:ascii="Times New Roman" w:hAnsi="Times New Roman"/>
          <w:b/>
          <w:bCs/>
          <w:sz w:val="24"/>
          <w:szCs w:val="24"/>
        </w:rPr>
      </w:pPr>
      <w:r w:rsidRPr="008F3DFC">
        <w:rPr>
          <w:rFonts w:ascii="Times New Roman" w:hAnsi="Times New Roman"/>
          <w:b/>
          <w:bCs/>
          <w:sz w:val="24"/>
          <w:szCs w:val="24"/>
        </w:rPr>
        <w:t>OFFERING VARIOUS CHARGING OPTIONS CONTRIBUTES TO A ROBUST CHARGING INFRASTRUCTURE</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75C59407" wp14:editId="37CCD0AC">
            <wp:extent cx="5163185" cy="2084294"/>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E7AE0" w:rsidRPr="00490F70" w:rsidRDefault="008E7AE0" w:rsidP="00C74B80">
      <w:pPr>
        <w:spacing w:after="0" w:line="360" w:lineRule="auto"/>
        <w:rPr>
          <w:rFonts w:ascii="Times New Roman" w:hAnsi="Times New Roman"/>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13</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offering various charging options contributes to a robust charging infrastructure. 10% of the respondents disagreed and 20% of them have neutral opinion. 50% of the respondents agreed that offering various charging options contributes to a robust charging infrastructure. </w:t>
      </w:r>
    </w:p>
    <w:p w:rsidR="008E7AE0" w:rsidRPr="00490F70" w:rsidRDefault="008E7AE0"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681BAC">
        <w:rPr>
          <w:rFonts w:ascii="Times New Roman" w:hAnsi="Times New Roman"/>
          <w:b/>
          <w:sz w:val="24"/>
          <w:szCs w:val="24"/>
        </w:rPr>
        <w:t>14</w:t>
      </w:r>
    </w:p>
    <w:p w:rsidR="008E7AE0" w:rsidRPr="00490F70" w:rsidRDefault="008E7AE0" w:rsidP="00C74B80">
      <w:pPr>
        <w:spacing w:after="0" w:line="360" w:lineRule="auto"/>
        <w:jc w:val="center"/>
        <w:rPr>
          <w:rFonts w:ascii="Times New Roman" w:hAnsi="Times New Roman"/>
          <w:b/>
          <w:bCs/>
          <w:sz w:val="24"/>
          <w:szCs w:val="24"/>
        </w:rPr>
      </w:pPr>
      <w:r w:rsidRPr="0051594B">
        <w:rPr>
          <w:rFonts w:ascii="Times New Roman" w:hAnsi="Times New Roman"/>
          <w:b/>
          <w:bCs/>
          <w:sz w:val="24"/>
          <w:szCs w:val="24"/>
        </w:rPr>
        <w:t>SMART CHARGING FEATURES, LIKE SCHEDULING AND REMOTE MONITORING, OPTIMIZE INFRASTRUCTURE USE</w:t>
      </w:r>
    </w:p>
    <w:tbl>
      <w:tblPr>
        <w:tblW w:w="8256" w:type="dxa"/>
        <w:jc w:val="center"/>
        <w:tblLook w:val="04A0" w:firstRow="1" w:lastRow="0" w:firstColumn="1" w:lastColumn="0" w:noHBand="0" w:noVBand="1"/>
      </w:tblPr>
      <w:tblGrid>
        <w:gridCol w:w="3138"/>
        <w:gridCol w:w="3005"/>
        <w:gridCol w:w="2113"/>
      </w:tblGrid>
      <w:tr w:rsidR="008E7AE0" w:rsidRPr="00490F70" w:rsidTr="00651C15">
        <w:trPr>
          <w:trHeight w:val="381"/>
          <w:jc w:val="center"/>
        </w:trPr>
        <w:tc>
          <w:tcPr>
            <w:tcW w:w="313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005"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113"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81"/>
          <w:jc w:val="center"/>
        </w:trPr>
        <w:tc>
          <w:tcPr>
            <w:tcW w:w="3138"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00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c>
          <w:tcPr>
            <w:tcW w:w="211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r>
      <w:tr w:rsidR="008E7AE0" w:rsidRPr="00490F70" w:rsidTr="00651C15">
        <w:trPr>
          <w:trHeight w:val="381"/>
          <w:jc w:val="center"/>
        </w:trPr>
        <w:tc>
          <w:tcPr>
            <w:tcW w:w="3138"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00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w:t>
            </w:r>
          </w:p>
        </w:tc>
        <w:tc>
          <w:tcPr>
            <w:tcW w:w="211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w:t>
            </w:r>
          </w:p>
        </w:tc>
      </w:tr>
      <w:tr w:rsidR="008E7AE0" w:rsidRPr="00490F70" w:rsidTr="00651C15">
        <w:trPr>
          <w:trHeight w:val="381"/>
          <w:jc w:val="center"/>
        </w:trPr>
        <w:tc>
          <w:tcPr>
            <w:tcW w:w="3138"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00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c>
          <w:tcPr>
            <w:tcW w:w="211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w:t>
            </w:r>
          </w:p>
        </w:tc>
      </w:tr>
      <w:tr w:rsidR="008E7AE0" w:rsidRPr="00490F70" w:rsidTr="00651C15">
        <w:trPr>
          <w:trHeight w:val="381"/>
          <w:jc w:val="center"/>
        </w:trPr>
        <w:tc>
          <w:tcPr>
            <w:tcW w:w="3138"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00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40</w:t>
            </w:r>
          </w:p>
        </w:tc>
        <w:tc>
          <w:tcPr>
            <w:tcW w:w="211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40</w:t>
            </w:r>
          </w:p>
        </w:tc>
      </w:tr>
      <w:tr w:rsidR="008E7AE0" w:rsidRPr="00490F70" w:rsidTr="00651C15">
        <w:trPr>
          <w:trHeight w:val="381"/>
          <w:jc w:val="center"/>
        </w:trPr>
        <w:tc>
          <w:tcPr>
            <w:tcW w:w="3138"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00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c>
          <w:tcPr>
            <w:tcW w:w="211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r>
      <w:tr w:rsidR="008E7AE0" w:rsidRPr="00490F70" w:rsidTr="00651C15">
        <w:trPr>
          <w:trHeight w:val="381"/>
          <w:jc w:val="center"/>
        </w:trPr>
        <w:tc>
          <w:tcPr>
            <w:tcW w:w="3138"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005"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113"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681BAC">
        <w:rPr>
          <w:rFonts w:ascii="Times New Roman" w:hAnsi="Times New Roman"/>
          <w:b/>
          <w:sz w:val="24"/>
          <w:szCs w:val="24"/>
        </w:rPr>
        <w:t>14</w:t>
      </w:r>
    </w:p>
    <w:p w:rsidR="008E7AE0" w:rsidRPr="00490F70" w:rsidRDefault="008E7AE0" w:rsidP="00C74B80">
      <w:pPr>
        <w:spacing w:after="0" w:line="360" w:lineRule="auto"/>
        <w:jc w:val="center"/>
        <w:rPr>
          <w:rFonts w:ascii="Times New Roman" w:hAnsi="Times New Roman"/>
          <w:b/>
          <w:bCs/>
          <w:sz w:val="24"/>
          <w:szCs w:val="24"/>
        </w:rPr>
      </w:pPr>
      <w:r w:rsidRPr="0051594B">
        <w:rPr>
          <w:rFonts w:ascii="Times New Roman" w:hAnsi="Times New Roman"/>
          <w:b/>
          <w:bCs/>
          <w:sz w:val="24"/>
          <w:szCs w:val="24"/>
        </w:rPr>
        <w:t>SMART CHARGING FEATURES, LIKE SCHEDULING AND REMOTE MONITORING, OPTIMIZE INFRASTRUCTURE USE</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476E2156" wp14:editId="6701CBB0">
            <wp:extent cx="5163185" cy="1700463"/>
            <wp:effectExtent l="0" t="0" r="18415"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E7AE0" w:rsidRPr="00490F70" w:rsidRDefault="008E7AE0" w:rsidP="00C74B80">
      <w:pPr>
        <w:spacing w:after="0" w:line="360" w:lineRule="auto"/>
        <w:rPr>
          <w:rFonts w:ascii="Times New Roman" w:hAnsi="Times New Roman"/>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7</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smart charging features, like scheduling and remote monitoring, optimize infrastructure use. 1% of them disagreed and 2% of them have neutral opinion. 40% of them agreed and 50% of the respondents strongly agreed that smart charging features, like scheduling and remote monitoring, optimize infrastructure use.  </w:t>
      </w:r>
    </w:p>
    <w:p w:rsidR="008E7AE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both"/>
        <w:rPr>
          <w:rFonts w:ascii="Times New Roman" w:hAnsi="Times New Roman"/>
          <w:sz w:val="24"/>
          <w:szCs w:val="24"/>
        </w:rPr>
      </w:pPr>
    </w:p>
    <w:p w:rsidR="005B4851" w:rsidRDefault="005B4851" w:rsidP="00C74B80">
      <w:pPr>
        <w:spacing w:after="0" w:line="360" w:lineRule="auto"/>
        <w:jc w:val="center"/>
        <w:rPr>
          <w:rFonts w:ascii="Times New Roman" w:hAnsi="Times New Roman"/>
          <w:b/>
          <w:sz w:val="24"/>
          <w:szCs w:val="24"/>
        </w:rPr>
      </w:pP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681BAC">
        <w:rPr>
          <w:rFonts w:ascii="Times New Roman" w:hAnsi="Times New Roman"/>
          <w:b/>
          <w:sz w:val="24"/>
          <w:szCs w:val="24"/>
        </w:rPr>
        <w:t>15</w:t>
      </w:r>
    </w:p>
    <w:p w:rsidR="008E7AE0" w:rsidRPr="00490F70" w:rsidRDefault="008E7AE0" w:rsidP="00C74B80">
      <w:pPr>
        <w:spacing w:after="0" w:line="360" w:lineRule="auto"/>
        <w:jc w:val="center"/>
        <w:rPr>
          <w:rFonts w:ascii="Times New Roman" w:hAnsi="Times New Roman"/>
          <w:b/>
          <w:bCs/>
          <w:sz w:val="24"/>
          <w:szCs w:val="24"/>
        </w:rPr>
      </w:pPr>
      <w:r w:rsidRPr="00807821">
        <w:rPr>
          <w:rFonts w:ascii="Times New Roman" w:hAnsi="Times New Roman"/>
          <w:b/>
          <w:bCs/>
          <w:sz w:val="24"/>
          <w:szCs w:val="24"/>
        </w:rPr>
        <w:t>SCALABLE INFRASTRUCTURE IS ESSENTIAL TO ACCOMMODATE FUTURE ELECTRIC VEHICLE GROWTH</w:t>
      </w:r>
    </w:p>
    <w:tbl>
      <w:tblPr>
        <w:tblW w:w="8254" w:type="dxa"/>
        <w:jc w:val="center"/>
        <w:tblLook w:val="04A0" w:firstRow="1" w:lastRow="0" w:firstColumn="1" w:lastColumn="0" w:noHBand="0" w:noVBand="1"/>
      </w:tblPr>
      <w:tblGrid>
        <w:gridCol w:w="2745"/>
        <w:gridCol w:w="3279"/>
        <w:gridCol w:w="2230"/>
      </w:tblGrid>
      <w:tr w:rsidR="008E7AE0" w:rsidRPr="00490F70" w:rsidTr="00651C15">
        <w:trPr>
          <w:trHeight w:val="340"/>
          <w:jc w:val="center"/>
        </w:trPr>
        <w:tc>
          <w:tcPr>
            <w:tcW w:w="274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279"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230"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40"/>
          <w:jc w:val="center"/>
        </w:trPr>
        <w:tc>
          <w:tcPr>
            <w:tcW w:w="274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27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223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340"/>
          <w:jc w:val="center"/>
        </w:trPr>
        <w:tc>
          <w:tcPr>
            <w:tcW w:w="274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27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23</w:t>
            </w:r>
          </w:p>
        </w:tc>
        <w:tc>
          <w:tcPr>
            <w:tcW w:w="223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23</w:t>
            </w:r>
          </w:p>
        </w:tc>
      </w:tr>
      <w:tr w:rsidR="008E7AE0" w:rsidRPr="00490F70" w:rsidTr="00651C15">
        <w:trPr>
          <w:trHeight w:val="340"/>
          <w:jc w:val="center"/>
        </w:trPr>
        <w:tc>
          <w:tcPr>
            <w:tcW w:w="274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27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c>
          <w:tcPr>
            <w:tcW w:w="223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20</w:t>
            </w:r>
          </w:p>
        </w:tc>
      </w:tr>
      <w:tr w:rsidR="008E7AE0" w:rsidRPr="00490F70" w:rsidTr="00651C15">
        <w:trPr>
          <w:trHeight w:val="340"/>
          <w:jc w:val="center"/>
        </w:trPr>
        <w:tc>
          <w:tcPr>
            <w:tcW w:w="274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27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40</w:t>
            </w:r>
          </w:p>
        </w:tc>
        <w:tc>
          <w:tcPr>
            <w:tcW w:w="223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40</w:t>
            </w:r>
          </w:p>
        </w:tc>
      </w:tr>
      <w:tr w:rsidR="008E7AE0" w:rsidRPr="00490F70" w:rsidTr="00651C15">
        <w:trPr>
          <w:trHeight w:val="340"/>
          <w:jc w:val="center"/>
        </w:trPr>
        <w:tc>
          <w:tcPr>
            <w:tcW w:w="2745"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27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c>
          <w:tcPr>
            <w:tcW w:w="2230"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r>
      <w:tr w:rsidR="008E7AE0" w:rsidRPr="00490F70" w:rsidTr="00651C15">
        <w:trPr>
          <w:trHeight w:val="340"/>
          <w:jc w:val="center"/>
        </w:trPr>
        <w:tc>
          <w:tcPr>
            <w:tcW w:w="2745"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279"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230"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NO.4.1</w:t>
      </w:r>
      <w:r w:rsidR="00681BAC">
        <w:rPr>
          <w:rFonts w:ascii="Times New Roman" w:hAnsi="Times New Roman"/>
          <w:b/>
          <w:sz w:val="24"/>
          <w:szCs w:val="24"/>
        </w:rPr>
        <w:t>5</w:t>
      </w:r>
    </w:p>
    <w:p w:rsidR="008E7AE0" w:rsidRPr="00490F70" w:rsidRDefault="008E7AE0" w:rsidP="00C74B80">
      <w:pPr>
        <w:spacing w:after="0" w:line="360" w:lineRule="auto"/>
        <w:jc w:val="center"/>
        <w:rPr>
          <w:rFonts w:ascii="Times New Roman" w:hAnsi="Times New Roman"/>
          <w:b/>
          <w:bCs/>
          <w:sz w:val="24"/>
          <w:szCs w:val="24"/>
        </w:rPr>
      </w:pPr>
      <w:r w:rsidRPr="00807821">
        <w:rPr>
          <w:rFonts w:ascii="Times New Roman" w:hAnsi="Times New Roman"/>
          <w:b/>
          <w:bCs/>
          <w:sz w:val="24"/>
          <w:szCs w:val="24"/>
        </w:rPr>
        <w:t>SCALABLE INFRASTRUCTURE IS ESSENTIAL TO ACCOMMODATE FUTURE ELECTRIC VEHICLE GROWTH</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4AF00AE9" wp14:editId="75DF5CAA">
            <wp:extent cx="5217160" cy="2147776"/>
            <wp:effectExtent l="0" t="0" r="2540" b="50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10</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scalable infrastructure is essential to accommodate future electric vehicle growth. 23% of the respondents disagreed and 20% of them have neutral opinion. 40% of the respondents agreed that scalable infrastructure is essential to accommodate future electric vehicle growth. 7% of the respondents strongly agreed with it. </w:t>
      </w:r>
    </w:p>
    <w:p w:rsidR="008E7AE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both"/>
        <w:rPr>
          <w:rFonts w:ascii="Times New Roman" w:hAnsi="Times New Roman"/>
          <w:sz w:val="24"/>
          <w:szCs w:val="24"/>
        </w:rPr>
      </w:pPr>
      <w:r>
        <w:rPr>
          <w:rFonts w:ascii="Times New Roman" w:hAnsi="Times New Roman"/>
          <w:sz w:val="24"/>
          <w:szCs w:val="24"/>
        </w:rPr>
        <w:t xml:space="preserve"> </w:t>
      </w:r>
      <w:r w:rsidRPr="00490F70">
        <w:rPr>
          <w:rFonts w:ascii="Times New Roman" w:hAnsi="Times New Roman"/>
          <w:sz w:val="24"/>
          <w:szCs w:val="24"/>
        </w:rPr>
        <w:t xml:space="preserve">   </w:t>
      </w: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681BAC">
        <w:rPr>
          <w:rFonts w:ascii="Times New Roman" w:hAnsi="Times New Roman"/>
          <w:b/>
          <w:sz w:val="24"/>
          <w:szCs w:val="24"/>
        </w:rPr>
        <w:t>16</w:t>
      </w:r>
    </w:p>
    <w:p w:rsidR="008E7AE0" w:rsidRPr="00490F70" w:rsidRDefault="008E7AE0" w:rsidP="00C74B80">
      <w:pPr>
        <w:spacing w:after="0" w:line="360" w:lineRule="auto"/>
        <w:jc w:val="center"/>
        <w:rPr>
          <w:rFonts w:ascii="Times New Roman" w:hAnsi="Times New Roman"/>
          <w:b/>
          <w:bCs/>
          <w:sz w:val="24"/>
          <w:szCs w:val="24"/>
        </w:rPr>
      </w:pPr>
      <w:r w:rsidRPr="00461A3B">
        <w:rPr>
          <w:rFonts w:ascii="Times New Roman" w:hAnsi="Times New Roman"/>
          <w:b/>
          <w:bCs/>
          <w:sz w:val="24"/>
          <w:szCs w:val="24"/>
        </w:rPr>
        <w:t xml:space="preserve">  ACCESSIBLE CHARGING INFRASTRUCTURE IN PUBLIC SPACES PROMOTES ELECTRIC VEHICLE USAGE</w:t>
      </w:r>
    </w:p>
    <w:tbl>
      <w:tblPr>
        <w:tblW w:w="8114" w:type="dxa"/>
        <w:jc w:val="center"/>
        <w:tblLook w:val="04A0" w:firstRow="1" w:lastRow="0" w:firstColumn="1" w:lastColumn="0" w:noHBand="0" w:noVBand="1"/>
      </w:tblPr>
      <w:tblGrid>
        <w:gridCol w:w="3063"/>
        <w:gridCol w:w="3023"/>
        <w:gridCol w:w="2028"/>
      </w:tblGrid>
      <w:tr w:rsidR="008E7AE0" w:rsidRPr="00490F70" w:rsidTr="00651C15">
        <w:trPr>
          <w:trHeight w:val="382"/>
          <w:jc w:val="center"/>
        </w:trPr>
        <w:tc>
          <w:tcPr>
            <w:tcW w:w="306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023"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028"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82"/>
          <w:jc w:val="center"/>
        </w:trPr>
        <w:tc>
          <w:tcPr>
            <w:tcW w:w="306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02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02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82"/>
          <w:jc w:val="center"/>
        </w:trPr>
        <w:tc>
          <w:tcPr>
            <w:tcW w:w="306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02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02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82"/>
          <w:jc w:val="center"/>
        </w:trPr>
        <w:tc>
          <w:tcPr>
            <w:tcW w:w="306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02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54</w:t>
            </w:r>
          </w:p>
        </w:tc>
        <w:tc>
          <w:tcPr>
            <w:tcW w:w="202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54</w:t>
            </w:r>
          </w:p>
        </w:tc>
      </w:tr>
      <w:tr w:rsidR="008E7AE0" w:rsidRPr="00490F70" w:rsidTr="00651C15">
        <w:trPr>
          <w:trHeight w:val="382"/>
          <w:jc w:val="center"/>
        </w:trPr>
        <w:tc>
          <w:tcPr>
            <w:tcW w:w="306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02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35</w:t>
            </w:r>
          </w:p>
        </w:tc>
        <w:tc>
          <w:tcPr>
            <w:tcW w:w="202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35</w:t>
            </w:r>
          </w:p>
        </w:tc>
      </w:tr>
      <w:tr w:rsidR="008E7AE0" w:rsidRPr="00490F70" w:rsidTr="00651C15">
        <w:trPr>
          <w:trHeight w:val="382"/>
          <w:jc w:val="center"/>
        </w:trPr>
        <w:tc>
          <w:tcPr>
            <w:tcW w:w="3063"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02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11</w:t>
            </w:r>
          </w:p>
        </w:tc>
        <w:tc>
          <w:tcPr>
            <w:tcW w:w="202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11</w:t>
            </w:r>
          </w:p>
        </w:tc>
      </w:tr>
      <w:tr w:rsidR="008E7AE0" w:rsidRPr="00490F70" w:rsidTr="00651C15">
        <w:trPr>
          <w:trHeight w:val="382"/>
          <w:jc w:val="center"/>
        </w:trPr>
        <w:tc>
          <w:tcPr>
            <w:tcW w:w="3063"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023"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028"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NO.4.1</w:t>
      </w:r>
      <w:r w:rsidR="00681BAC">
        <w:rPr>
          <w:rFonts w:ascii="Times New Roman" w:hAnsi="Times New Roman"/>
          <w:b/>
          <w:sz w:val="24"/>
          <w:szCs w:val="24"/>
        </w:rPr>
        <w:t>6</w:t>
      </w:r>
    </w:p>
    <w:p w:rsidR="008E7AE0" w:rsidRPr="00490F70" w:rsidRDefault="008E7AE0" w:rsidP="00C74B80">
      <w:pPr>
        <w:spacing w:after="0" w:line="360" w:lineRule="auto"/>
        <w:jc w:val="center"/>
        <w:rPr>
          <w:rFonts w:ascii="Times New Roman" w:hAnsi="Times New Roman"/>
          <w:b/>
          <w:bCs/>
          <w:sz w:val="24"/>
          <w:szCs w:val="24"/>
        </w:rPr>
      </w:pPr>
      <w:r w:rsidRPr="00461A3B">
        <w:rPr>
          <w:rFonts w:ascii="Times New Roman" w:hAnsi="Times New Roman"/>
          <w:b/>
          <w:bCs/>
          <w:sz w:val="24"/>
          <w:szCs w:val="24"/>
        </w:rPr>
        <w:t xml:space="preserve">  ACCESSIBLE CHARGING INFRASTRUCTURE IN PUBLIC SPACES PROMOTES ELECTRIC VEHICLE USAGE</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14F2E5AA" wp14:editId="456160A2">
            <wp:extent cx="5165558" cy="2165685"/>
            <wp:effectExtent l="0" t="0" r="16510" b="63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E7AE0" w:rsidRPr="00490F70" w:rsidRDefault="008E7AE0"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54</w:t>
      </w:r>
      <w:r w:rsidRPr="00490F70">
        <w:rPr>
          <w:rFonts w:ascii="Times New Roman" w:hAnsi="Times New Roman"/>
          <w:sz w:val="24"/>
          <w:szCs w:val="24"/>
        </w:rPr>
        <w:t xml:space="preserve">% of the respondents </w:t>
      </w:r>
      <w:r>
        <w:rPr>
          <w:rFonts w:ascii="Times New Roman" w:hAnsi="Times New Roman"/>
          <w:sz w:val="24"/>
          <w:szCs w:val="24"/>
        </w:rPr>
        <w:t xml:space="preserve">have neutral opinion that accessible charging infrastructure in public spaces promotes electric vehicle usage. 35% of the respondents agreed with it and 11% of the respondents strongly agreed that accessible charging infrastructure in public spaces promotes electric vehicle usage. </w:t>
      </w:r>
    </w:p>
    <w:p w:rsidR="008E7AE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both"/>
        <w:rPr>
          <w:rFonts w:ascii="Times New Roman" w:hAnsi="Times New Roman"/>
          <w:sz w:val="24"/>
          <w:szCs w:val="24"/>
        </w:rPr>
      </w:pP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NO.4.1</w:t>
      </w:r>
      <w:r w:rsidR="00681BAC">
        <w:rPr>
          <w:rFonts w:ascii="Times New Roman" w:hAnsi="Times New Roman"/>
          <w:b/>
          <w:sz w:val="24"/>
          <w:szCs w:val="24"/>
        </w:rPr>
        <w:t>7</w:t>
      </w:r>
    </w:p>
    <w:p w:rsidR="008E7AE0" w:rsidRPr="00490F70" w:rsidRDefault="008E7AE0" w:rsidP="00C74B80">
      <w:pPr>
        <w:spacing w:after="0" w:line="360" w:lineRule="auto"/>
        <w:jc w:val="center"/>
        <w:rPr>
          <w:rFonts w:ascii="Times New Roman" w:hAnsi="Times New Roman"/>
          <w:b/>
          <w:bCs/>
          <w:sz w:val="24"/>
          <w:szCs w:val="24"/>
        </w:rPr>
      </w:pPr>
      <w:r w:rsidRPr="004A56ED">
        <w:rPr>
          <w:rFonts w:ascii="Times New Roman" w:hAnsi="Times New Roman"/>
          <w:b/>
          <w:bCs/>
          <w:sz w:val="24"/>
          <w:szCs w:val="24"/>
        </w:rPr>
        <w:t>AVAILABILITY OF CHARGING INFRASTRUCTURE INFLUENCES ELECTRIC VEHICLE PURCHASE DECISIONS</w:t>
      </w:r>
    </w:p>
    <w:tbl>
      <w:tblPr>
        <w:tblW w:w="8236" w:type="dxa"/>
        <w:jc w:val="center"/>
        <w:tblLook w:val="04A0" w:firstRow="1" w:lastRow="0" w:firstColumn="1" w:lastColumn="0" w:noHBand="0" w:noVBand="1"/>
      </w:tblPr>
      <w:tblGrid>
        <w:gridCol w:w="2967"/>
        <w:gridCol w:w="3044"/>
        <w:gridCol w:w="2225"/>
      </w:tblGrid>
      <w:tr w:rsidR="008E7AE0" w:rsidRPr="00490F70" w:rsidTr="00651C15">
        <w:trPr>
          <w:trHeight w:val="366"/>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044"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3</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28</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28</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19</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19</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46</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46</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044"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225"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NO.4.1</w:t>
      </w:r>
      <w:r w:rsidR="00681BAC">
        <w:rPr>
          <w:rFonts w:ascii="Times New Roman" w:hAnsi="Times New Roman"/>
          <w:b/>
          <w:sz w:val="24"/>
          <w:szCs w:val="24"/>
        </w:rPr>
        <w:t>7</w:t>
      </w:r>
    </w:p>
    <w:p w:rsidR="008E7AE0" w:rsidRPr="00490F70" w:rsidRDefault="008E7AE0" w:rsidP="00C74B80">
      <w:pPr>
        <w:spacing w:after="0" w:line="360" w:lineRule="auto"/>
        <w:jc w:val="center"/>
        <w:rPr>
          <w:rFonts w:ascii="Times New Roman" w:hAnsi="Times New Roman"/>
          <w:b/>
          <w:bCs/>
          <w:sz w:val="24"/>
          <w:szCs w:val="24"/>
        </w:rPr>
      </w:pPr>
      <w:r w:rsidRPr="004A56ED">
        <w:rPr>
          <w:rFonts w:ascii="Times New Roman" w:hAnsi="Times New Roman"/>
          <w:b/>
          <w:bCs/>
          <w:sz w:val="24"/>
          <w:szCs w:val="24"/>
        </w:rPr>
        <w:t>AVAILABILITY OF CHARGING INFRASTRUCTURE INFLUENCES ELECTRIC VEHICLE PURCHASE DECISIONS</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43C4F155" wp14:editId="756B127B">
            <wp:extent cx="5165558" cy="1973179"/>
            <wp:effectExtent l="0" t="0" r="16510" b="825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E7AE0" w:rsidRPr="00490F70" w:rsidRDefault="008E7AE0"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3</w:t>
      </w:r>
      <w:r w:rsidRPr="00490F70">
        <w:rPr>
          <w:rFonts w:ascii="Times New Roman" w:hAnsi="Times New Roman"/>
          <w:sz w:val="24"/>
          <w:szCs w:val="24"/>
        </w:rPr>
        <w:t xml:space="preserve">% of the respondent </w:t>
      </w:r>
      <w:r>
        <w:rPr>
          <w:rFonts w:ascii="Times New Roman" w:hAnsi="Times New Roman"/>
          <w:sz w:val="24"/>
          <w:szCs w:val="24"/>
        </w:rPr>
        <w:t xml:space="preserve">strongly disagreed that availability of charging infrastructure influences electric vehicle purchase decisions. 4% of the respondents disagreed, 28% of the respondents have neutral opinion.  19% of the respondents agreed and 46% of the respondents strongly agreed that availability of charging infrastructure influences electric vehicle purchase decisions.  </w:t>
      </w:r>
    </w:p>
    <w:p w:rsidR="008E7AE0" w:rsidRDefault="008E7AE0" w:rsidP="00C74B80">
      <w:pPr>
        <w:spacing w:after="0" w:line="360" w:lineRule="auto"/>
        <w:jc w:val="both"/>
        <w:rPr>
          <w:rFonts w:ascii="Times New Roman" w:hAnsi="Times New Roman"/>
          <w:sz w:val="24"/>
          <w:szCs w:val="24"/>
        </w:rPr>
      </w:pPr>
    </w:p>
    <w:p w:rsidR="005B4851" w:rsidRDefault="005B4851" w:rsidP="00C74B80">
      <w:pPr>
        <w:spacing w:after="0" w:line="360" w:lineRule="auto"/>
        <w:jc w:val="center"/>
        <w:rPr>
          <w:rFonts w:ascii="Times New Roman" w:hAnsi="Times New Roman"/>
          <w:b/>
          <w:sz w:val="24"/>
          <w:szCs w:val="24"/>
        </w:rPr>
      </w:pP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681BAC">
        <w:rPr>
          <w:rFonts w:ascii="Times New Roman" w:hAnsi="Times New Roman"/>
          <w:b/>
          <w:sz w:val="24"/>
          <w:szCs w:val="24"/>
        </w:rPr>
        <w:t>18</w:t>
      </w:r>
    </w:p>
    <w:p w:rsidR="008E7AE0" w:rsidRPr="00490F70" w:rsidRDefault="008E7AE0" w:rsidP="00C74B80">
      <w:pPr>
        <w:spacing w:after="0" w:line="360" w:lineRule="auto"/>
        <w:jc w:val="center"/>
        <w:rPr>
          <w:rFonts w:ascii="Times New Roman" w:hAnsi="Times New Roman"/>
          <w:b/>
          <w:bCs/>
          <w:sz w:val="24"/>
          <w:szCs w:val="24"/>
        </w:rPr>
      </w:pPr>
      <w:r w:rsidRPr="00AE77B2">
        <w:rPr>
          <w:rFonts w:ascii="Times New Roman" w:hAnsi="Times New Roman"/>
          <w:b/>
          <w:bCs/>
          <w:sz w:val="24"/>
          <w:szCs w:val="24"/>
        </w:rPr>
        <w:t>PUBLIC AWARENESS CAMPAIGNS ENCOURAGE THE ADOPTION OF ELECTRIC VEHICLES</w:t>
      </w:r>
    </w:p>
    <w:tbl>
      <w:tblPr>
        <w:tblW w:w="8236" w:type="dxa"/>
        <w:jc w:val="center"/>
        <w:tblLook w:val="04A0" w:firstRow="1" w:lastRow="0" w:firstColumn="1" w:lastColumn="0" w:noHBand="0" w:noVBand="1"/>
      </w:tblPr>
      <w:tblGrid>
        <w:gridCol w:w="2967"/>
        <w:gridCol w:w="3044"/>
        <w:gridCol w:w="2225"/>
      </w:tblGrid>
      <w:tr w:rsidR="008E7AE0" w:rsidRPr="00490F70" w:rsidTr="00651C15">
        <w:trPr>
          <w:trHeight w:val="366"/>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044"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9</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9</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7</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24</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24</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044"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c>
          <w:tcPr>
            <w:tcW w:w="2225"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50</w:t>
            </w:r>
          </w:p>
        </w:tc>
      </w:tr>
      <w:tr w:rsidR="008E7AE0" w:rsidRPr="00490F70" w:rsidTr="00651C15">
        <w:trPr>
          <w:trHeight w:val="366"/>
          <w:jc w:val="center"/>
        </w:trPr>
        <w:tc>
          <w:tcPr>
            <w:tcW w:w="2967"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044"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225"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NO.4.1</w:t>
      </w:r>
      <w:r w:rsidR="00681BAC">
        <w:rPr>
          <w:rFonts w:ascii="Times New Roman" w:hAnsi="Times New Roman"/>
          <w:b/>
          <w:sz w:val="24"/>
          <w:szCs w:val="24"/>
        </w:rPr>
        <w:t>8</w:t>
      </w:r>
    </w:p>
    <w:p w:rsidR="008E7AE0" w:rsidRPr="00490F70" w:rsidRDefault="008E7AE0" w:rsidP="00C74B80">
      <w:pPr>
        <w:spacing w:after="0" w:line="360" w:lineRule="auto"/>
        <w:jc w:val="center"/>
        <w:rPr>
          <w:rFonts w:ascii="Times New Roman" w:hAnsi="Times New Roman"/>
          <w:b/>
          <w:bCs/>
          <w:sz w:val="24"/>
          <w:szCs w:val="24"/>
        </w:rPr>
      </w:pPr>
      <w:r w:rsidRPr="00AE77B2">
        <w:rPr>
          <w:rFonts w:ascii="Times New Roman" w:hAnsi="Times New Roman"/>
          <w:b/>
          <w:bCs/>
          <w:sz w:val="24"/>
          <w:szCs w:val="24"/>
        </w:rPr>
        <w:t>PUBLIC AWARENESS CAMPAIGNS ENCOURAGE THE ADOPTION OF ELECTRIC VEHICLES</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27B0F943" wp14:editId="4B574D7D">
            <wp:extent cx="5194300" cy="2286000"/>
            <wp:effectExtent l="0" t="0" r="63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E7AE0" w:rsidRPr="00490F70" w:rsidRDefault="008E7AE0"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Pr="00490F7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9</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public awareness campaigns encourage the adoption of electric vehicles. 7% of the respondents disagreed with it.  24% of the respondents have neutral opinion.  10% of the respondents agreed and 50% of the respondents have strongly agreed that public awareness campaigns encourage the adoption of electric vehicles. </w:t>
      </w: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681BAC">
        <w:rPr>
          <w:rFonts w:ascii="Times New Roman" w:hAnsi="Times New Roman"/>
          <w:b/>
          <w:sz w:val="24"/>
          <w:szCs w:val="24"/>
        </w:rPr>
        <w:t>19</w:t>
      </w:r>
    </w:p>
    <w:p w:rsidR="008E7AE0" w:rsidRPr="00490F70" w:rsidRDefault="008E7AE0" w:rsidP="00C74B80">
      <w:pPr>
        <w:spacing w:after="0" w:line="360" w:lineRule="auto"/>
        <w:jc w:val="center"/>
        <w:rPr>
          <w:rFonts w:ascii="Times New Roman" w:hAnsi="Times New Roman"/>
          <w:b/>
          <w:bCs/>
          <w:sz w:val="24"/>
          <w:szCs w:val="24"/>
        </w:rPr>
      </w:pPr>
      <w:r w:rsidRPr="00692E5E">
        <w:rPr>
          <w:rFonts w:ascii="Times New Roman" w:hAnsi="Times New Roman"/>
          <w:b/>
          <w:bCs/>
          <w:sz w:val="24"/>
          <w:szCs w:val="24"/>
        </w:rPr>
        <w:t>POSITIVE EXPERIENCES WITH ELECTRIC VEHICLES AMONG PEERS AND FAMILY MEMBERS DRIVE ADOPTION</w:t>
      </w:r>
    </w:p>
    <w:tbl>
      <w:tblPr>
        <w:tblW w:w="8629" w:type="dxa"/>
        <w:jc w:val="center"/>
        <w:tblLook w:val="04A0" w:firstRow="1" w:lastRow="0" w:firstColumn="1" w:lastColumn="0" w:noHBand="0" w:noVBand="1"/>
      </w:tblPr>
      <w:tblGrid>
        <w:gridCol w:w="3109"/>
        <w:gridCol w:w="3189"/>
        <w:gridCol w:w="2331"/>
      </w:tblGrid>
      <w:tr w:rsidR="008E7AE0" w:rsidRPr="00490F70" w:rsidTr="00651C15">
        <w:trPr>
          <w:trHeight w:val="383"/>
          <w:jc w:val="center"/>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189"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2331"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383"/>
          <w:jc w:val="center"/>
        </w:trPr>
        <w:tc>
          <w:tcPr>
            <w:tcW w:w="310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18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33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83"/>
          <w:jc w:val="center"/>
        </w:trPr>
        <w:tc>
          <w:tcPr>
            <w:tcW w:w="310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18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33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83"/>
          <w:jc w:val="center"/>
        </w:trPr>
        <w:tc>
          <w:tcPr>
            <w:tcW w:w="310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18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33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83"/>
          <w:jc w:val="center"/>
        </w:trPr>
        <w:tc>
          <w:tcPr>
            <w:tcW w:w="310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18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c>
          <w:tcPr>
            <w:tcW w:w="233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0</w:t>
            </w:r>
          </w:p>
        </w:tc>
      </w:tr>
      <w:tr w:rsidR="008E7AE0" w:rsidRPr="00490F70" w:rsidTr="00651C15">
        <w:trPr>
          <w:trHeight w:val="383"/>
          <w:jc w:val="center"/>
        </w:trPr>
        <w:tc>
          <w:tcPr>
            <w:tcW w:w="3109"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189"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100</w:t>
            </w:r>
          </w:p>
        </w:tc>
        <w:tc>
          <w:tcPr>
            <w:tcW w:w="2331"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100</w:t>
            </w:r>
          </w:p>
        </w:tc>
      </w:tr>
      <w:tr w:rsidR="008E7AE0" w:rsidRPr="00490F70" w:rsidTr="00651C15">
        <w:trPr>
          <w:trHeight w:val="383"/>
          <w:jc w:val="center"/>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189"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2331"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681BAC">
        <w:rPr>
          <w:rFonts w:ascii="Times New Roman" w:hAnsi="Times New Roman"/>
          <w:b/>
          <w:sz w:val="24"/>
          <w:szCs w:val="24"/>
        </w:rPr>
        <w:t>19</w:t>
      </w:r>
    </w:p>
    <w:p w:rsidR="008E7AE0" w:rsidRPr="00490F70" w:rsidRDefault="008E7AE0" w:rsidP="00C74B80">
      <w:pPr>
        <w:spacing w:after="0" w:line="360" w:lineRule="auto"/>
        <w:jc w:val="center"/>
        <w:rPr>
          <w:rFonts w:ascii="Times New Roman" w:hAnsi="Times New Roman"/>
          <w:b/>
          <w:bCs/>
          <w:sz w:val="24"/>
          <w:szCs w:val="24"/>
        </w:rPr>
      </w:pPr>
      <w:r w:rsidRPr="00692E5E">
        <w:rPr>
          <w:rFonts w:ascii="Times New Roman" w:hAnsi="Times New Roman"/>
          <w:b/>
          <w:bCs/>
          <w:sz w:val="24"/>
          <w:szCs w:val="24"/>
        </w:rPr>
        <w:t>POSITIVE EXPERIENCES WITH ELECTRIC VEHICLES AMONG PEERS AND FAMILY MEMBERS DRIVE ADOPTION</w:t>
      </w:r>
    </w:p>
    <w:p w:rsidR="008E7AE0" w:rsidRPr="00490F70" w:rsidRDefault="008E7AE0" w:rsidP="00C74B80">
      <w:pPr>
        <w:spacing w:after="0" w:line="360" w:lineRule="auto"/>
        <w:jc w:val="center"/>
        <w:rPr>
          <w:rFonts w:ascii="Times New Roman" w:hAnsi="Times New Roman"/>
          <w:b/>
          <w:bCs/>
          <w:sz w:val="24"/>
          <w:szCs w:val="24"/>
        </w:rPr>
      </w:pPr>
      <w:r w:rsidRPr="00490F70">
        <w:rPr>
          <w:rFonts w:ascii="Times New Roman" w:hAnsi="Times New Roman"/>
          <w:noProof/>
          <w:sz w:val="24"/>
          <w:szCs w:val="24"/>
          <w:lang w:eastAsia="en-IN" w:bidi="ml-IN"/>
        </w:rPr>
        <w:drawing>
          <wp:inline distT="0" distB="0" distL="0" distR="0" wp14:anchorId="6F449F8E" wp14:editId="36AA010C">
            <wp:extent cx="5217459" cy="2743200"/>
            <wp:effectExtent l="0" t="0" r="254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E7AE0" w:rsidRPr="00490F70" w:rsidRDefault="008E7AE0"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 xml:space="preserve">the entire respondents strongly agreed that positive experience with electric vehicles among peers and family members drive adoption.  </w:t>
      </w:r>
    </w:p>
    <w:p w:rsidR="008E7AE0" w:rsidRPr="00490F70" w:rsidRDefault="008E7AE0" w:rsidP="00C74B80">
      <w:pPr>
        <w:spacing w:after="0" w:line="360" w:lineRule="auto"/>
        <w:jc w:val="both"/>
        <w:rPr>
          <w:rFonts w:ascii="Times New Roman" w:hAnsi="Times New Roman"/>
          <w:sz w:val="24"/>
          <w:szCs w:val="24"/>
        </w:rPr>
      </w:pPr>
    </w:p>
    <w:p w:rsidR="008E7AE0" w:rsidRPr="00490F70" w:rsidRDefault="008E7AE0" w:rsidP="00C74B80">
      <w:pPr>
        <w:spacing w:after="0" w:line="360" w:lineRule="auto"/>
        <w:jc w:val="both"/>
        <w:rPr>
          <w:rFonts w:ascii="Times New Roman" w:hAnsi="Times New Roman"/>
          <w:sz w:val="24"/>
          <w:szCs w:val="24"/>
        </w:rPr>
      </w:pPr>
    </w:p>
    <w:p w:rsidR="005B4851" w:rsidRDefault="005B4851" w:rsidP="00C74B80">
      <w:pPr>
        <w:spacing w:after="0" w:line="360" w:lineRule="auto"/>
        <w:jc w:val="center"/>
        <w:rPr>
          <w:rFonts w:ascii="Times New Roman" w:hAnsi="Times New Roman"/>
          <w:b/>
          <w:sz w:val="24"/>
          <w:szCs w:val="24"/>
        </w:rPr>
      </w:pP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lastRenderedPageBreak/>
        <w:t>TABLE NO.4.</w:t>
      </w:r>
      <w:r w:rsidR="00681BAC">
        <w:rPr>
          <w:rFonts w:ascii="Times New Roman" w:hAnsi="Times New Roman"/>
          <w:b/>
          <w:sz w:val="24"/>
          <w:szCs w:val="24"/>
        </w:rPr>
        <w:t>20</w:t>
      </w:r>
    </w:p>
    <w:p w:rsidR="008E7AE0" w:rsidRPr="00490F70" w:rsidRDefault="008E7AE0" w:rsidP="00C74B80">
      <w:pPr>
        <w:spacing w:after="0" w:line="360" w:lineRule="auto"/>
        <w:jc w:val="center"/>
        <w:rPr>
          <w:rFonts w:ascii="Times New Roman" w:hAnsi="Times New Roman"/>
          <w:b/>
          <w:sz w:val="24"/>
          <w:szCs w:val="24"/>
        </w:rPr>
      </w:pPr>
      <w:r w:rsidRPr="009A689E">
        <w:rPr>
          <w:rFonts w:ascii="Times New Roman" w:hAnsi="Times New Roman"/>
          <w:b/>
          <w:sz w:val="24"/>
          <w:szCs w:val="24"/>
        </w:rPr>
        <w:t>FINANCIAL INCENTIVES, SUCH AS TAX CREDITS, PLAY A SIGNIFICANT ROLE IN ENCOURAGING ADOPTION</w:t>
      </w:r>
    </w:p>
    <w:tbl>
      <w:tblPr>
        <w:tblW w:w="8155" w:type="dxa"/>
        <w:jc w:val="center"/>
        <w:tblLook w:val="04A0" w:firstRow="1" w:lastRow="0" w:firstColumn="1" w:lastColumn="0" w:noHBand="0" w:noVBand="1"/>
      </w:tblPr>
      <w:tblGrid>
        <w:gridCol w:w="3194"/>
        <w:gridCol w:w="3078"/>
        <w:gridCol w:w="1883"/>
      </w:tblGrid>
      <w:tr w:rsidR="008E7AE0" w:rsidRPr="00490F70" w:rsidTr="00651C15">
        <w:trPr>
          <w:trHeight w:val="437"/>
          <w:jc w:val="center"/>
        </w:trPr>
        <w:tc>
          <w:tcPr>
            <w:tcW w:w="319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eastAsia="en-GB"/>
              </w:rPr>
              <w:t>Category</w:t>
            </w:r>
          </w:p>
        </w:tc>
        <w:tc>
          <w:tcPr>
            <w:tcW w:w="3078"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 xml:space="preserve">No. </w:t>
            </w:r>
            <w:r>
              <w:rPr>
                <w:rFonts w:ascii="Times New Roman" w:eastAsia="Times New Roman" w:hAnsi="Times New Roman"/>
                <w:b/>
                <w:bCs/>
                <w:color w:val="000000"/>
                <w:sz w:val="24"/>
                <w:szCs w:val="24"/>
                <w:lang w:eastAsia="en-GB"/>
              </w:rPr>
              <w:t>o</w:t>
            </w:r>
            <w:r w:rsidRPr="00490F70">
              <w:rPr>
                <w:rFonts w:ascii="Times New Roman" w:eastAsia="Times New Roman" w:hAnsi="Times New Roman"/>
                <w:b/>
                <w:bCs/>
                <w:color w:val="000000"/>
                <w:sz w:val="24"/>
                <w:szCs w:val="24"/>
                <w:lang w:eastAsia="en-GB"/>
              </w:rPr>
              <w:t>f Respondents</w:t>
            </w:r>
          </w:p>
        </w:tc>
        <w:tc>
          <w:tcPr>
            <w:tcW w:w="1883" w:type="dxa"/>
            <w:tcBorders>
              <w:top w:val="single" w:sz="8" w:space="0" w:color="000000"/>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Percentage</w:t>
            </w:r>
          </w:p>
        </w:tc>
      </w:tr>
      <w:tr w:rsidR="008E7AE0" w:rsidRPr="00490F70" w:rsidTr="00651C15">
        <w:trPr>
          <w:trHeight w:val="437"/>
          <w:jc w:val="center"/>
        </w:trPr>
        <w:tc>
          <w:tcPr>
            <w:tcW w:w="319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disagree</w:t>
            </w:r>
          </w:p>
        </w:tc>
        <w:tc>
          <w:tcPr>
            <w:tcW w:w="307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c>
          <w:tcPr>
            <w:tcW w:w="188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w:t>
            </w:r>
          </w:p>
        </w:tc>
      </w:tr>
      <w:tr w:rsidR="008E7AE0" w:rsidRPr="00490F70" w:rsidTr="00651C15">
        <w:trPr>
          <w:trHeight w:val="437"/>
          <w:jc w:val="center"/>
        </w:trPr>
        <w:tc>
          <w:tcPr>
            <w:tcW w:w="319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Disagree</w:t>
            </w:r>
          </w:p>
        </w:tc>
        <w:tc>
          <w:tcPr>
            <w:tcW w:w="307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9</w:t>
            </w:r>
          </w:p>
        </w:tc>
        <w:tc>
          <w:tcPr>
            <w:tcW w:w="188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9</w:t>
            </w:r>
          </w:p>
        </w:tc>
      </w:tr>
      <w:tr w:rsidR="008E7AE0" w:rsidRPr="00490F70" w:rsidTr="00651C15">
        <w:trPr>
          <w:trHeight w:val="437"/>
          <w:jc w:val="center"/>
        </w:trPr>
        <w:tc>
          <w:tcPr>
            <w:tcW w:w="319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Neutral</w:t>
            </w:r>
          </w:p>
        </w:tc>
        <w:tc>
          <w:tcPr>
            <w:tcW w:w="307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16</w:t>
            </w:r>
          </w:p>
        </w:tc>
        <w:tc>
          <w:tcPr>
            <w:tcW w:w="188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16</w:t>
            </w:r>
          </w:p>
        </w:tc>
      </w:tr>
      <w:tr w:rsidR="008E7AE0" w:rsidRPr="00490F70" w:rsidTr="00651C15">
        <w:trPr>
          <w:trHeight w:val="437"/>
          <w:jc w:val="center"/>
        </w:trPr>
        <w:tc>
          <w:tcPr>
            <w:tcW w:w="319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Agree</w:t>
            </w:r>
          </w:p>
        </w:tc>
        <w:tc>
          <w:tcPr>
            <w:tcW w:w="307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27</w:t>
            </w:r>
          </w:p>
        </w:tc>
        <w:tc>
          <w:tcPr>
            <w:tcW w:w="188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27</w:t>
            </w:r>
          </w:p>
        </w:tc>
      </w:tr>
      <w:tr w:rsidR="008E7AE0" w:rsidRPr="00490F70" w:rsidTr="00651C15">
        <w:trPr>
          <w:trHeight w:val="437"/>
          <w:jc w:val="center"/>
        </w:trPr>
        <w:tc>
          <w:tcPr>
            <w:tcW w:w="3194" w:type="dxa"/>
            <w:tcBorders>
              <w:top w:val="nil"/>
              <w:left w:val="single" w:sz="8" w:space="0" w:color="000000"/>
              <w:bottom w:val="single" w:sz="8" w:space="0" w:color="000000"/>
              <w:right w:val="single" w:sz="8" w:space="0" w:color="000000"/>
            </w:tcBorders>
            <w:shd w:val="clear" w:color="auto" w:fill="auto"/>
          </w:tcPr>
          <w:p w:rsidR="008E7AE0" w:rsidRPr="00490F70" w:rsidRDefault="008E7AE0" w:rsidP="00C74B80">
            <w:pPr>
              <w:spacing w:after="0" w:line="360" w:lineRule="auto"/>
              <w:jc w:val="center"/>
              <w:rPr>
                <w:rFonts w:ascii="Times New Roman" w:hAnsi="Times New Roman"/>
                <w:sz w:val="24"/>
                <w:szCs w:val="24"/>
              </w:rPr>
            </w:pPr>
            <w:r>
              <w:rPr>
                <w:rFonts w:ascii="Times New Roman" w:hAnsi="Times New Roman"/>
                <w:sz w:val="24"/>
                <w:szCs w:val="24"/>
              </w:rPr>
              <w:t>Strongly agree</w:t>
            </w:r>
          </w:p>
        </w:tc>
        <w:tc>
          <w:tcPr>
            <w:tcW w:w="3078"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44</w:t>
            </w:r>
          </w:p>
        </w:tc>
        <w:tc>
          <w:tcPr>
            <w:tcW w:w="1883" w:type="dxa"/>
            <w:tcBorders>
              <w:top w:val="nil"/>
              <w:left w:val="nil"/>
              <w:bottom w:val="single" w:sz="8" w:space="0" w:color="000000"/>
              <w:right w:val="single" w:sz="8" w:space="0" w:color="000000"/>
            </w:tcBorders>
            <w:shd w:val="clear" w:color="auto" w:fill="auto"/>
            <w:vAlign w:val="center"/>
          </w:tcPr>
          <w:p w:rsidR="008E7AE0" w:rsidRPr="00490F70" w:rsidRDefault="008E7AE0" w:rsidP="00C74B80">
            <w:pPr>
              <w:spacing w:after="0" w:line="360" w:lineRule="auto"/>
              <w:jc w:val="center"/>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44</w:t>
            </w:r>
          </w:p>
        </w:tc>
      </w:tr>
      <w:tr w:rsidR="008E7AE0" w:rsidRPr="00490F70" w:rsidTr="00651C15">
        <w:trPr>
          <w:trHeight w:val="437"/>
          <w:jc w:val="center"/>
        </w:trPr>
        <w:tc>
          <w:tcPr>
            <w:tcW w:w="3194" w:type="dxa"/>
            <w:tcBorders>
              <w:top w:val="nil"/>
              <w:left w:val="single" w:sz="8" w:space="0" w:color="000000"/>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TOTAL</w:t>
            </w:r>
          </w:p>
        </w:tc>
        <w:tc>
          <w:tcPr>
            <w:tcW w:w="3078"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c>
          <w:tcPr>
            <w:tcW w:w="1883" w:type="dxa"/>
            <w:tcBorders>
              <w:top w:val="nil"/>
              <w:left w:val="nil"/>
              <w:bottom w:val="single" w:sz="8" w:space="0" w:color="000000"/>
              <w:right w:val="single" w:sz="8" w:space="0" w:color="000000"/>
            </w:tcBorders>
            <w:shd w:val="clear" w:color="auto" w:fill="auto"/>
            <w:vAlign w:val="center"/>
            <w:hideMark/>
          </w:tcPr>
          <w:p w:rsidR="008E7AE0" w:rsidRPr="00490F70" w:rsidRDefault="008E7AE0" w:rsidP="00C74B80">
            <w:pPr>
              <w:spacing w:after="0" w:line="360" w:lineRule="auto"/>
              <w:jc w:val="center"/>
              <w:rPr>
                <w:rFonts w:ascii="Times New Roman" w:eastAsia="Times New Roman" w:hAnsi="Times New Roman"/>
                <w:b/>
                <w:bCs/>
                <w:color w:val="000000"/>
                <w:sz w:val="24"/>
                <w:szCs w:val="24"/>
                <w:lang w:val="en-GB" w:eastAsia="en-GB"/>
              </w:rPr>
            </w:pPr>
            <w:r w:rsidRPr="00490F70">
              <w:rPr>
                <w:rFonts w:ascii="Times New Roman" w:eastAsia="Times New Roman" w:hAnsi="Times New Roman"/>
                <w:b/>
                <w:bCs/>
                <w:color w:val="000000"/>
                <w:sz w:val="24"/>
                <w:szCs w:val="24"/>
                <w:lang w:eastAsia="en-GB"/>
              </w:rPr>
              <w:t>100</w:t>
            </w:r>
          </w:p>
        </w:tc>
      </w:tr>
    </w:tbl>
    <w:p w:rsidR="008E7AE0" w:rsidRPr="00490F70" w:rsidRDefault="008E7AE0" w:rsidP="00C74B80">
      <w:pPr>
        <w:spacing w:after="0" w:line="360" w:lineRule="auto"/>
        <w:rPr>
          <w:rFonts w:ascii="Times New Roman" w:hAnsi="Times New Roman"/>
          <w:sz w:val="24"/>
          <w:szCs w:val="24"/>
        </w:rPr>
      </w:pPr>
      <w:r w:rsidRPr="00490F70">
        <w:rPr>
          <w:rFonts w:ascii="Times New Roman" w:hAnsi="Times New Roman"/>
          <w:sz w:val="24"/>
          <w:szCs w:val="24"/>
        </w:rPr>
        <w:t xml:space="preserve">    Source: Primary Data</w:t>
      </w:r>
    </w:p>
    <w:p w:rsidR="008E7AE0" w:rsidRPr="00490F70" w:rsidRDefault="008E7AE0" w:rsidP="00C74B80">
      <w:pPr>
        <w:spacing w:after="0" w:line="360" w:lineRule="auto"/>
        <w:jc w:val="center"/>
        <w:rPr>
          <w:rFonts w:ascii="Times New Roman" w:hAnsi="Times New Roman"/>
          <w:b/>
          <w:sz w:val="24"/>
          <w:szCs w:val="24"/>
        </w:rPr>
      </w:pPr>
      <w:r>
        <w:rPr>
          <w:rFonts w:ascii="Times New Roman" w:hAnsi="Times New Roman"/>
          <w:b/>
          <w:sz w:val="24"/>
          <w:szCs w:val="24"/>
        </w:rPr>
        <w:t>CHART NO.4.</w:t>
      </w:r>
      <w:r w:rsidR="00681BAC">
        <w:rPr>
          <w:rFonts w:ascii="Times New Roman" w:hAnsi="Times New Roman"/>
          <w:b/>
          <w:sz w:val="24"/>
          <w:szCs w:val="24"/>
        </w:rPr>
        <w:t>20</w:t>
      </w:r>
    </w:p>
    <w:p w:rsidR="008E7AE0" w:rsidRPr="00490F70" w:rsidRDefault="008E7AE0" w:rsidP="00C74B80">
      <w:pPr>
        <w:spacing w:after="0" w:line="360" w:lineRule="auto"/>
        <w:jc w:val="center"/>
        <w:rPr>
          <w:rFonts w:ascii="Times New Roman" w:hAnsi="Times New Roman"/>
          <w:b/>
          <w:sz w:val="24"/>
          <w:szCs w:val="24"/>
        </w:rPr>
      </w:pPr>
      <w:r w:rsidRPr="009A689E">
        <w:rPr>
          <w:rFonts w:ascii="Times New Roman" w:hAnsi="Times New Roman"/>
          <w:b/>
          <w:sz w:val="24"/>
          <w:szCs w:val="24"/>
        </w:rPr>
        <w:t>FINANCIAL INCENTIVES, SUCH AS TAX CREDITS, PLAY A SIGNIFICANT ROLE IN ENCOURAGING ADOPTION</w:t>
      </w:r>
    </w:p>
    <w:p w:rsidR="008E7AE0" w:rsidRPr="00490F70" w:rsidRDefault="008E7AE0" w:rsidP="00C74B80">
      <w:pPr>
        <w:spacing w:after="0" w:line="360" w:lineRule="auto"/>
        <w:jc w:val="center"/>
        <w:rPr>
          <w:rFonts w:ascii="Times New Roman" w:hAnsi="Times New Roman"/>
          <w:b/>
          <w:sz w:val="24"/>
          <w:szCs w:val="24"/>
        </w:rPr>
      </w:pPr>
      <w:r w:rsidRPr="00490F70">
        <w:rPr>
          <w:rFonts w:ascii="Times New Roman" w:hAnsi="Times New Roman"/>
          <w:noProof/>
          <w:sz w:val="24"/>
          <w:szCs w:val="24"/>
          <w:lang w:eastAsia="en-IN" w:bidi="ml-IN"/>
        </w:rPr>
        <w:drawing>
          <wp:inline distT="0" distB="0" distL="0" distR="0" wp14:anchorId="32F709F1" wp14:editId="4A45418F">
            <wp:extent cx="5229726" cy="1684421"/>
            <wp:effectExtent l="0" t="0" r="9525"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E7AE0" w:rsidRPr="00490F70" w:rsidRDefault="008E7AE0" w:rsidP="00C74B80">
      <w:pPr>
        <w:spacing w:after="0" w:line="360" w:lineRule="auto"/>
        <w:rPr>
          <w:rFonts w:ascii="Times New Roman" w:hAnsi="Times New Roman"/>
          <w:sz w:val="24"/>
          <w:szCs w:val="24"/>
        </w:rPr>
      </w:pPr>
    </w:p>
    <w:p w:rsidR="008E7AE0" w:rsidRPr="00490F70" w:rsidRDefault="008E7AE0" w:rsidP="00C74B80">
      <w:pPr>
        <w:spacing w:after="0" w:line="360" w:lineRule="auto"/>
        <w:jc w:val="both"/>
        <w:rPr>
          <w:rFonts w:ascii="Times New Roman" w:hAnsi="Times New Roman"/>
          <w:b/>
          <w:sz w:val="24"/>
          <w:szCs w:val="24"/>
        </w:rPr>
      </w:pPr>
      <w:r w:rsidRPr="00490F70">
        <w:rPr>
          <w:rFonts w:ascii="Times New Roman" w:hAnsi="Times New Roman"/>
          <w:b/>
          <w:sz w:val="24"/>
          <w:szCs w:val="24"/>
        </w:rPr>
        <w:t>INTERPRETATION</w:t>
      </w:r>
    </w:p>
    <w:p w:rsidR="008E7AE0" w:rsidRDefault="008E7AE0" w:rsidP="00C74B80">
      <w:pPr>
        <w:spacing w:after="0" w:line="360" w:lineRule="auto"/>
        <w:jc w:val="both"/>
        <w:rPr>
          <w:rFonts w:ascii="Times New Roman" w:hAnsi="Times New Roman"/>
          <w:sz w:val="24"/>
          <w:szCs w:val="24"/>
        </w:rPr>
      </w:pPr>
      <w:r w:rsidRPr="00490F70">
        <w:rPr>
          <w:rFonts w:ascii="Times New Roman" w:hAnsi="Times New Roman"/>
          <w:sz w:val="24"/>
          <w:szCs w:val="24"/>
        </w:rPr>
        <w:t xml:space="preserve">Above table and graph shows that </w:t>
      </w:r>
      <w:r>
        <w:rPr>
          <w:rFonts w:ascii="Times New Roman" w:hAnsi="Times New Roman"/>
          <w:sz w:val="24"/>
          <w:szCs w:val="24"/>
        </w:rPr>
        <w:t>4</w:t>
      </w:r>
      <w:r w:rsidRPr="00490F70">
        <w:rPr>
          <w:rFonts w:ascii="Times New Roman" w:hAnsi="Times New Roman"/>
          <w:sz w:val="24"/>
          <w:szCs w:val="24"/>
        </w:rPr>
        <w:t xml:space="preserve">% of the respondents </w:t>
      </w:r>
      <w:r>
        <w:rPr>
          <w:rFonts w:ascii="Times New Roman" w:hAnsi="Times New Roman"/>
          <w:sz w:val="24"/>
          <w:szCs w:val="24"/>
        </w:rPr>
        <w:t xml:space="preserve">strongly disagreed that financial incentives, such as tax credits, play a significant role in encouraging adoption. 9% of them disagreed and 16% have neutral opinion. 27% of them agreed and 44% of the respondents strongly agreed that financial incentives, such as tax credits, play a significant role in encouraging adoption. </w:t>
      </w:r>
    </w:p>
    <w:p w:rsidR="008E7AE0" w:rsidRDefault="008E7AE0" w:rsidP="00C74B80">
      <w:pPr>
        <w:spacing w:after="0" w:line="360" w:lineRule="auto"/>
        <w:jc w:val="both"/>
        <w:rPr>
          <w:rFonts w:ascii="Times New Roman" w:hAnsi="Times New Roman"/>
          <w:sz w:val="24"/>
          <w:szCs w:val="24"/>
        </w:rPr>
      </w:pPr>
    </w:p>
    <w:p w:rsidR="008E7AE0" w:rsidRDefault="008E7AE0" w:rsidP="00C74B80">
      <w:pPr>
        <w:spacing w:after="0" w:line="360" w:lineRule="auto"/>
        <w:jc w:val="both"/>
        <w:rPr>
          <w:rFonts w:ascii="Times New Roman" w:hAnsi="Times New Roman"/>
          <w:sz w:val="24"/>
          <w:szCs w:val="24"/>
        </w:rPr>
      </w:pPr>
    </w:p>
    <w:p w:rsidR="00681BAC" w:rsidRDefault="00681BAC" w:rsidP="00C74B80">
      <w:pPr>
        <w:spacing w:after="0" w:line="360" w:lineRule="auto"/>
        <w:rPr>
          <w:rFonts w:ascii="Times New Roman" w:hAnsi="Times New Roman" w:cs="Times New Roman"/>
          <w:b/>
          <w:sz w:val="28"/>
          <w:szCs w:val="24"/>
        </w:rPr>
      </w:pPr>
    </w:p>
    <w:p w:rsidR="009213B7" w:rsidRDefault="00DC1768" w:rsidP="00C74B80">
      <w:pPr>
        <w:spacing w:after="0" w:line="360" w:lineRule="auto"/>
        <w:rPr>
          <w:rFonts w:ascii="Times New Roman" w:hAnsi="Times New Roman" w:cs="Times New Roman"/>
          <w:b/>
          <w:sz w:val="28"/>
          <w:szCs w:val="24"/>
        </w:rPr>
      </w:pPr>
      <w:r>
        <w:rPr>
          <w:rFonts w:ascii="Times New Roman" w:hAnsi="Times New Roman" w:cs="Times New Roman"/>
          <w:b/>
          <w:sz w:val="28"/>
          <w:szCs w:val="24"/>
        </w:rPr>
        <w:lastRenderedPageBreak/>
        <w:t>5.1</w:t>
      </w:r>
      <w:r w:rsidR="00CB4156">
        <w:rPr>
          <w:rFonts w:ascii="Times New Roman" w:hAnsi="Times New Roman" w:cs="Times New Roman"/>
          <w:b/>
          <w:sz w:val="28"/>
          <w:szCs w:val="24"/>
        </w:rPr>
        <w:t xml:space="preserve"> FINDINGS</w:t>
      </w:r>
      <w:r w:rsidR="00A453D9" w:rsidRPr="00A453D9">
        <w:rPr>
          <w:rFonts w:ascii="Times New Roman" w:hAnsi="Times New Roman" w:cs="Times New Roman"/>
          <w:b/>
          <w:sz w:val="28"/>
          <w:szCs w:val="24"/>
        </w:rPr>
        <w:t xml:space="preserve"> </w:t>
      </w:r>
    </w:p>
    <w:p w:rsidR="001D69D3" w:rsidRPr="001D69D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58% of the respondents strongly agreed that safety certification for charging equipment are pivotal for ensuring user safety.</w:t>
      </w:r>
    </w:p>
    <w:p w:rsidR="001D69D3" w:rsidRDefault="001D69D3" w:rsidP="005B4851">
      <w:pPr>
        <w:pStyle w:val="ListParagraph"/>
        <w:numPr>
          <w:ilvl w:val="0"/>
          <w:numId w:val="10"/>
        </w:numPr>
        <w:spacing w:line="360" w:lineRule="auto"/>
        <w:jc w:val="both"/>
      </w:pPr>
      <w:r w:rsidRPr="001D69D3">
        <w:rPr>
          <w:rFonts w:ascii="Times New Roman" w:hAnsi="Times New Roman"/>
          <w:sz w:val="24"/>
          <w:szCs w:val="24"/>
        </w:rPr>
        <w:t xml:space="preserve">73% of the respondents strongly agreed that charging stations offering fast-charging capabilities meet user needs effectively. </w:t>
      </w:r>
      <w:r>
        <w:t xml:space="preserve"> </w:t>
      </w:r>
    </w:p>
    <w:p w:rsidR="001D69D3" w:rsidRPr="001D69D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 xml:space="preserve">36% of the respondents strongly agreed that reliability of charging infrastructure impacts the effectiveness of electric vehicle adoption.  </w:t>
      </w:r>
    </w:p>
    <w:p w:rsidR="001D69D3" w:rsidRPr="007148F1" w:rsidRDefault="001D69D3" w:rsidP="005B4851">
      <w:pPr>
        <w:pStyle w:val="ListParagraph"/>
        <w:numPr>
          <w:ilvl w:val="0"/>
          <w:numId w:val="10"/>
        </w:numPr>
        <w:spacing w:line="360" w:lineRule="auto"/>
        <w:jc w:val="both"/>
      </w:pPr>
      <w:r w:rsidRPr="001D69D3">
        <w:rPr>
          <w:rFonts w:ascii="Times New Roman" w:hAnsi="Times New Roman"/>
          <w:sz w:val="24"/>
          <w:szCs w:val="24"/>
        </w:rPr>
        <w:t xml:space="preserve">The entire respondents strongly agreed that integration of renewable energy sources enhances the effectiveness of charging infrastructure.  </w:t>
      </w:r>
    </w:p>
    <w:p w:rsidR="001D69D3" w:rsidRPr="001D69D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 xml:space="preserve">50% of the respondents agreed that compatibility with diverse electric vehicle models enhances charging station effectiveness.  </w:t>
      </w:r>
    </w:p>
    <w:p w:rsidR="001D69D3" w:rsidRPr="001D69D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36% of the respondents strongly agreed that accessibility of charging stations in both urban and rural areas improves overall effectiveness.</w:t>
      </w:r>
    </w:p>
    <w:p w:rsidR="001D69D3" w:rsidRPr="001D69D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 xml:space="preserve">56% of the respondents strongly agreed that charging station density significantly influences electric vehicles adoption rates. </w:t>
      </w:r>
    </w:p>
    <w:p w:rsidR="001D69D3" w:rsidRDefault="001D69D3" w:rsidP="005B4851">
      <w:pPr>
        <w:pStyle w:val="ListParagraph"/>
        <w:numPr>
          <w:ilvl w:val="0"/>
          <w:numId w:val="10"/>
        </w:numPr>
        <w:spacing w:line="360" w:lineRule="auto"/>
        <w:jc w:val="both"/>
      </w:pPr>
      <w:r w:rsidRPr="001D69D3">
        <w:rPr>
          <w:rFonts w:ascii="Times New Roman" w:hAnsi="Times New Roman"/>
          <w:sz w:val="24"/>
          <w:szCs w:val="24"/>
        </w:rPr>
        <w:t xml:space="preserve">50% of the respondents agreed that offering various charging options contributes to a robust charging infrastructure. </w:t>
      </w:r>
      <w:r>
        <w:t xml:space="preserve"> </w:t>
      </w:r>
    </w:p>
    <w:p w:rsidR="001D69D3" w:rsidRPr="001D69D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 xml:space="preserve">50% of the respondents strongly agreed that smart charging features, like scheduling and remote monitoring, optimize infrastructure use.  </w:t>
      </w:r>
    </w:p>
    <w:p w:rsidR="001D69D3" w:rsidRPr="001D69D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 xml:space="preserve">40% of the respondents agreed that scalable infrastructure is essential to accommodate future electric vehicle growth. </w:t>
      </w:r>
    </w:p>
    <w:p w:rsidR="004F5373" w:rsidRDefault="001D69D3" w:rsidP="005B4851">
      <w:pPr>
        <w:pStyle w:val="ListParagraph"/>
        <w:numPr>
          <w:ilvl w:val="0"/>
          <w:numId w:val="10"/>
        </w:numPr>
        <w:spacing w:line="360" w:lineRule="auto"/>
        <w:jc w:val="both"/>
        <w:rPr>
          <w:rFonts w:ascii="Times New Roman" w:hAnsi="Times New Roman"/>
          <w:sz w:val="24"/>
          <w:szCs w:val="24"/>
        </w:rPr>
      </w:pPr>
      <w:r w:rsidRPr="001D69D3">
        <w:rPr>
          <w:rFonts w:ascii="Times New Roman" w:hAnsi="Times New Roman"/>
          <w:sz w:val="24"/>
          <w:szCs w:val="24"/>
        </w:rPr>
        <w:t xml:space="preserve">54% of the respondents have neutral opinion that accessible charging infrastructure in public spaces promotes electric vehicle usage. </w:t>
      </w:r>
    </w:p>
    <w:p w:rsidR="004F5373" w:rsidRDefault="004F5373" w:rsidP="005B4851">
      <w:pPr>
        <w:pStyle w:val="ListParagraph"/>
        <w:numPr>
          <w:ilvl w:val="0"/>
          <w:numId w:val="10"/>
        </w:numPr>
        <w:spacing w:line="360" w:lineRule="auto"/>
        <w:jc w:val="both"/>
        <w:rPr>
          <w:rFonts w:ascii="Times New Roman" w:hAnsi="Times New Roman"/>
          <w:sz w:val="24"/>
          <w:szCs w:val="24"/>
        </w:rPr>
      </w:pPr>
      <w:r w:rsidRPr="004F5373">
        <w:rPr>
          <w:rFonts w:ascii="Times New Roman" w:hAnsi="Times New Roman"/>
          <w:sz w:val="24"/>
          <w:szCs w:val="24"/>
        </w:rPr>
        <w:t>3</w:t>
      </w:r>
      <w:r w:rsidR="001D69D3" w:rsidRPr="004F5373">
        <w:rPr>
          <w:rFonts w:ascii="Times New Roman" w:hAnsi="Times New Roman"/>
          <w:sz w:val="24"/>
          <w:szCs w:val="24"/>
        </w:rPr>
        <w:t xml:space="preserve">6% of the respondents strongly agreed that availability of charging infrastructure influences electric vehicle purchase decisions.  </w:t>
      </w:r>
    </w:p>
    <w:p w:rsidR="004F5373" w:rsidRDefault="001D69D3" w:rsidP="005B4851">
      <w:pPr>
        <w:pStyle w:val="ListParagraph"/>
        <w:numPr>
          <w:ilvl w:val="0"/>
          <w:numId w:val="10"/>
        </w:numPr>
        <w:spacing w:line="360" w:lineRule="auto"/>
        <w:jc w:val="both"/>
        <w:rPr>
          <w:rFonts w:ascii="Times New Roman" w:hAnsi="Times New Roman"/>
          <w:sz w:val="24"/>
          <w:szCs w:val="24"/>
        </w:rPr>
      </w:pPr>
      <w:r w:rsidRPr="004F5373">
        <w:rPr>
          <w:rFonts w:ascii="Times New Roman" w:hAnsi="Times New Roman"/>
          <w:sz w:val="24"/>
          <w:szCs w:val="24"/>
        </w:rPr>
        <w:t xml:space="preserve">50% of the respondents have strongly agreed that public awareness campaigns encourage the adoption of electric vehicles. </w:t>
      </w:r>
    </w:p>
    <w:p w:rsidR="004F5373" w:rsidRPr="004F5373" w:rsidRDefault="004F5373" w:rsidP="005B4851">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T</w:t>
      </w:r>
      <w:r w:rsidR="001D69D3" w:rsidRPr="004F5373">
        <w:rPr>
          <w:rFonts w:ascii="Times New Roman" w:hAnsi="Times New Roman"/>
          <w:sz w:val="24"/>
          <w:szCs w:val="24"/>
        </w:rPr>
        <w:t xml:space="preserve">he entire respondents strongly agreed that positive experience with electric vehicles among peers and family members drive adoption.  </w:t>
      </w:r>
      <w:r w:rsidR="001D69D3">
        <w:t xml:space="preserve"> </w:t>
      </w:r>
    </w:p>
    <w:p w:rsidR="004F5373" w:rsidRPr="004F5373" w:rsidRDefault="001D69D3" w:rsidP="005B4851">
      <w:pPr>
        <w:pStyle w:val="ListParagraph"/>
        <w:numPr>
          <w:ilvl w:val="0"/>
          <w:numId w:val="10"/>
        </w:numPr>
        <w:spacing w:line="360" w:lineRule="auto"/>
        <w:jc w:val="both"/>
        <w:rPr>
          <w:rFonts w:ascii="Times New Roman" w:hAnsi="Times New Roman"/>
          <w:sz w:val="24"/>
          <w:szCs w:val="24"/>
        </w:rPr>
      </w:pPr>
      <w:r w:rsidRPr="004F5373">
        <w:rPr>
          <w:rFonts w:ascii="Times New Roman" w:hAnsi="Times New Roman"/>
          <w:sz w:val="24"/>
          <w:szCs w:val="24"/>
        </w:rPr>
        <w:t xml:space="preserve">44% of the respondents strongly agreed that financial incentives, such as tax credits, play a significant role in encouraging adoption. </w:t>
      </w:r>
      <w:r>
        <w:t xml:space="preserve"> </w:t>
      </w:r>
    </w:p>
    <w:p w:rsidR="005B4851" w:rsidRPr="00FE4BFC" w:rsidRDefault="00AC28FA" w:rsidP="005B4851">
      <w:pPr>
        <w:spacing w:line="360" w:lineRule="auto"/>
        <w:jc w:val="both"/>
        <w:rPr>
          <w:rFonts w:ascii="Times New Roman" w:hAnsi="Times New Roman" w:cs="Times New Roman"/>
          <w:b/>
          <w:sz w:val="28"/>
          <w:szCs w:val="24"/>
        </w:rPr>
      </w:pPr>
      <w:r>
        <w:rPr>
          <w:rFonts w:ascii="Times New Roman" w:hAnsi="Times New Roman" w:cs="Times New Roman"/>
          <w:b/>
          <w:sz w:val="28"/>
        </w:rPr>
        <w:lastRenderedPageBreak/>
        <w:t xml:space="preserve">5.2 </w:t>
      </w:r>
      <w:r w:rsidR="005B4851">
        <w:rPr>
          <w:rFonts w:ascii="Times New Roman" w:hAnsi="Times New Roman" w:cs="Times New Roman"/>
          <w:b/>
          <w:sz w:val="28"/>
          <w:szCs w:val="24"/>
        </w:rPr>
        <w:t>SUGGESTIONS</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rPr>
      </w:pPr>
      <w:r w:rsidRPr="005F0B31">
        <w:rPr>
          <w:rFonts w:ascii="Times New Roman" w:hAnsi="Times New Roman" w:cs="Times New Roman"/>
          <w:sz w:val="24"/>
        </w:rPr>
        <w:t xml:space="preserve">Allocate funds for the installation of charging stations in key locations such as urban centers, highways, parking lots, and residential areas to ensure convenient access for Electric Vehicle (EV) owners. </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rPr>
      </w:pPr>
      <w:r w:rsidRPr="005F0B31">
        <w:rPr>
          <w:rFonts w:ascii="Times New Roman" w:hAnsi="Times New Roman" w:cs="Times New Roman"/>
          <w:sz w:val="24"/>
        </w:rPr>
        <w:t xml:space="preserve">Encourage the adoption of universal charging standards like CCS (Combined Charging System) or CHAdeMO to ensure compatibility across different EV models, thereby reducing consumer confusion and infrastructure costs. </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rPr>
      </w:pPr>
      <w:r w:rsidRPr="005F0B31">
        <w:rPr>
          <w:rFonts w:ascii="Times New Roman" w:hAnsi="Times New Roman" w:cs="Times New Roman"/>
          <w:sz w:val="24"/>
        </w:rPr>
        <w:t>Launch public awareness campaigns to educate consumers about the benefits of EVs and the availability of charging infrastructure, addressing concerns about range anxiety and promoting widespread adoption of electric transportation.</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Provide subsidies or tax credits for homeowners who install EV charging stations, making it easier for individuals to charge their vehicles at home.</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Create user-friendly mobile applications that allow EV owners to locate charging stations, check availability in real time, and plan routes that include charging stops.</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Encourage the development of charging stations that serve multiple purposes, such as integrating retail or dining options, making charging a more convenient and appealing experience for users.</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Partner with local businesses to install charging stations on their premises, enabling employees and customers to charge while they work or shop.</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Establish a comprehensive and standardized national network of charging stations, ensuring consistent access and reliability across regions.</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Encourage businesses to electrify their fleets by offering grants or incentives for purchasing electric commercial vehicles and the necessary charging infrastructure.</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Invest in smart grid technology that optimizes energy distribution for charging stations, balancing demand and enhancing the reliability of the electrical grid.</w:t>
      </w:r>
    </w:p>
    <w:p w:rsidR="005B4851" w:rsidRPr="005F0B31" w:rsidRDefault="005B4851" w:rsidP="005B4851">
      <w:pPr>
        <w:pStyle w:val="ListParagraph"/>
        <w:numPr>
          <w:ilvl w:val="0"/>
          <w:numId w:val="3"/>
        </w:numPr>
        <w:spacing w:line="360" w:lineRule="auto"/>
        <w:jc w:val="both"/>
        <w:rPr>
          <w:rFonts w:ascii="Times New Roman" w:hAnsi="Times New Roman" w:cs="Times New Roman"/>
          <w:sz w:val="24"/>
          <w:szCs w:val="24"/>
        </w:rPr>
      </w:pPr>
      <w:r w:rsidRPr="005F0B31">
        <w:rPr>
          <w:rFonts w:ascii="Times New Roman" w:hAnsi="Times New Roman" w:cs="Times New Roman"/>
          <w:sz w:val="24"/>
          <w:szCs w:val="24"/>
        </w:rPr>
        <w:t>Host workshops and seminars in local communities to inform residents about the benefits of EVs, available incentives, and how to transition to electric mobility.</w:t>
      </w:r>
    </w:p>
    <w:p w:rsidR="00AC28FA" w:rsidRDefault="005B4851" w:rsidP="00C74B80">
      <w:pPr>
        <w:spacing w:after="0" w:line="360" w:lineRule="auto"/>
        <w:rPr>
          <w:rFonts w:ascii="Times New Roman" w:hAnsi="Times New Roman" w:cs="Times New Roman"/>
          <w:b/>
          <w:sz w:val="28"/>
        </w:rPr>
      </w:pPr>
      <w:r>
        <w:rPr>
          <w:rFonts w:ascii="Times New Roman" w:hAnsi="Times New Roman" w:cs="Times New Roman"/>
          <w:b/>
          <w:sz w:val="28"/>
        </w:rPr>
        <w:lastRenderedPageBreak/>
        <w:t xml:space="preserve">5.3 </w:t>
      </w:r>
      <w:r w:rsidR="00AC28FA" w:rsidRPr="00DD4916">
        <w:rPr>
          <w:rFonts w:ascii="Times New Roman" w:hAnsi="Times New Roman" w:cs="Times New Roman"/>
          <w:b/>
          <w:sz w:val="28"/>
        </w:rPr>
        <w:t>CONCLUSION</w:t>
      </w:r>
    </w:p>
    <w:p w:rsidR="00AA620F" w:rsidRDefault="00AA620F" w:rsidP="00C74B80">
      <w:pPr>
        <w:pStyle w:val="NormalWeb"/>
        <w:spacing w:line="360" w:lineRule="auto"/>
        <w:jc w:val="both"/>
      </w:pPr>
      <w:r>
        <w:t xml:space="preserve">In summary, the study highlights that addressing the infrastructure challenges is crucial for the successful adoption of </w:t>
      </w:r>
      <w:r w:rsidR="00EA30C1">
        <w:t>Electric Vehicles</w:t>
      </w:r>
      <w:r>
        <w:t xml:space="preserve"> (EVs) in India. While government initiatives have laid a solid foundation through incentives and subsidies, the disparity between EV sales and charging infrastructure remains a significant hurdle. By prioritizing investments in charging networks, particularly in underserved rural and semi-urban areas, and exploring innovative solutions like battery swapping stations, India can alleviate range anxiety and foster greater consumer confidence. The need for standardization and efficiency in charging processes will further enhance the appeal of EV ownership.</w:t>
      </w:r>
    </w:p>
    <w:p w:rsidR="00AA620F" w:rsidRDefault="00AA620F" w:rsidP="00C74B80">
      <w:pPr>
        <w:pStyle w:val="NormalWeb"/>
        <w:spacing w:line="360" w:lineRule="auto"/>
        <w:jc w:val="both"/>
      </w:pPr>
      <w:r>
        <w:t>Ultimately, the successful transition to electric mobility in India requires a collaborative effort among public and private sectors, along with a comprehensive strategy that includes raising public awareness and providing targeted incentives. As India harnesses its potential for EV production and innovation, the long-term benefits of reduced emissions, energy security, and economic growth become increasingly attainable. By cultivating a robust infrastructure and supportive environment for electric vehicles, India stands poised to emerge as a global leader in the EV market, paving the way for a sustainable and environmentally friendly future.</w:t>
      </w:r>
    </w:p>
    <w:p w:rsidR="004F5373" w:rsidRDefault="004F5373" w:rsidP="00C74B80">
      <w:pPr>
        <w:spacing w:line="360" w:lineRule="auto"/>
        <w:jc w:val="both"/>
        <w:rPr>
          <w:rFonts w:ascii="Times New Roman" w:hAnsi="Times New Roman" w:cs="Times New Roman"/>
          <w:b/>
          <w:sz w:val="28"/>
        </w:rPr>
      </w:pPr>
    </w:p>
    <w:p w:rsidR="00AA620F" w:rsidRDefault="00AA620F" w:rsidP="00C74B80">
      <w:pPr>
        <w:spacing w:line="360" w:lineRule="auto"/>
        <w:jc w:val="both"/>
        <w:rPr>
          <w:rFonts w:ascii="Times New Roman" w:hAnsi="Times New Roman" w:cs="Times New Roman"/>
          <w:b/>
          <w:sz w:val="28"/>
        </w:rPr>
      </w:pPr>
    </w:p>
    <w:p w:rsidR="00B34018" w:rsidRDefault="00B34018"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Pr="00BB2CF3" w:rsidRDefault="00706F1A" w:rsidP="00706F1A">
      <w:pPr>
        <w:spacing w:line="360" w:lineRule="auto"/>
        <w:jc w:val="center"/>
        <w:rPr>
          <w:rFonts w:ascii="Times New Roman" w:hAnsi="Times New Roman" w:cs="Times New Roman"/>
          <w:b/>
          <w:sz w:val="32"/>
          <w:szCs w:val="32"/>
        </w:rPr>
      </w:pPr>
      <w:r w:rsidRPr="00BB2CF3">
        <w:rPr>
          <w:rFonts w:ascii="Times New Roman" w:hAnsi="Times New Roman" w:cs="Times New Roman"/>
          <w:b/>
          <w:sz w:val="32"/>
          <w:szCs w:val="32"/>
        </w:rPr>
        <w:lastRenderedPageBreak/>
        <w:t>BIBLIOGRAPHY</w:t>
      </w:r>
    </w:p>
    <w:p w:rsidR="00706F1A" w:rsidRPr="00A200DB" w:rsidRDefault="00706F1A" w:rsidP="00706F1A">
      <w:pPr>
        <w:spacing w:after="0" w:line="360" w:lineRule="auto"/>
        <w:jc w:val="both"/>
        <w:rPr>
          <w:rFonts w:ascii="Times New Roman" w:hAnsi="Times New Roman"/>
          <w:b/>
          <w:bCs/>
          <w:sz w:val="28"/>
          <w:szCs w:val="28"/>
        </w:rPr>
      </w:pPr>
      <w:r w:rsidRPr="00A200DB">
        <w:rPr>
          <w:rFonts w:ascii="Times New Roman" w:hAnsi="Times New Roman"/>
          <w:b/>
          <w:bCs/>
          <w:sz w:val="28"/>
          <w:szCs w:val="28"/>
        </w:rPr>
        <w:t>BOOKS:</w:t>
      </w:r>
    </w:p>
    <w:p w:rsidR="00706F1A" w:rsidRPr="00A200DB" w:rsidRDefault="00706F1A" w:rsidP="00706F1A">
      <w:pPr>
        <w:pStyle w:val="ListParagraph"/>
        <w:numPr>
          <w:ilvl w:val="0"/>
          <w:numId w:val="5"/>
        </w:numPr>
        <w:spacing w:after="0" w:line="360" w:lineRule="auto"/>
        <w:jc w:val="both"/>
        <w:rPr>
          <w:rFonts w:ascii="Times New Roman" w:hAnsi="Times New Roman"/>
          <w:sz w:val="24"/>
          <w:szCs w:val="24"/>
        </w:rPr>
      </w:pPr>
      <w:r w:rsidRPr="00A200DB">
        <w:rPr>
          <w:rFonts w:ascii="Times New Roman" w:hAnsi="Times New Roman"/>
          <w:sz w:val="24"/>
          <w:szCs w:val="24"/>
        </w:rPr>
        <w:t>Schill, Wolf-Peter, and Clemens Gerbaulet. "On the economic potential of flexible electric vehicle charging." Transportation Research Part A: Policy and Practice 94 (2016): 326-343.</w:t>
      </w:r>
    </w:p>
    <w:p w:rsidR="00706F1A" w:rsidRPr="00A200DB" w:rsidRDefault="00706F1A" w:rsidP="00706F1A">
      <w:pPr>
        <w:pStyle w:val="ListParagraph"/>
        <w:numPr>
          <w:ilvl w:val="0"/>
          <w:numId w:val="5"/>
        </w:numPr>
        <w:spacing w:after="0" w:line="360" w:lineRule="auto"/>
        <w:jc w:val="both"/>
        <w:rPr>
          <w:rFonts w:ascii="Times New Roman" w:hAnsi="Times New Roman"/>
          <w:sz w:val="24"/>
          <w:szCs w:val="24"/>
        </w:rPr>
      </w:pPr>
      <w:r w:rsidRPr="00A200DB">
        <w:rPr>
          <w:rFonts w:ascii="Times New Roman" w:hAnsi="Times New Roman"/>
          <w:sz w:val="24"/>
          <w:szCs w:val="24"/>
        </w:rPr>
        <w:t>Sierzchula, William, et al. "Electric vehicles: Literature review of technology costs and carbon emissions." Transport Reviews 32.3 (2012): 265-286.</w:t>
      </w:r>
    </w:p>
    <w:p w:rsidR="00706F1A" w:rsidRPr="00A200DB" w:rsidRDefault="00706F1A" w:rsidP="00706F1A">
      <w:pPr>
        <w:pStyle w:val="ListParagraph"/>
        <w:numPr>
          <w:ilvl w:val="0"/>
          <w:numId w:val="5"/>
        </w:numPr>
        <w:spacing w:after="0" w:line="360" w:lineRule="auto"/>
        <w:jc w:val="both"/>
        <w:rPr>
          <w:rFonts w:ascii="Times New Roman" w:hAnsi="Times New Roman"/>
          <w:sz w:val="24"/>
          <w:szCs w:val="24"/>
        </w:rPr>
      </w:pPr>
      <w:r w:rsidRPr="00A200DB">
        <w:rPr>
          <w:rFonts w:ascii="Times New Roman" w:hAnsi="Times New Roman"/>
          <w:sz w:val="24"/>
          <w:szCs w:val="24"/>
        </w:rPr>
        <w:t>Graham-Rowe, Ella, et al. "The social acceptability of electric vehicles: A review and research agenda." Transportation Research Part D: Transport and Environment 45 (2016): 1-14.</w:t>
      </w:r>
    </w:p>
    <w:p w:rsidR="00706F1A" w:rsidRPr="00A200DB" w:rsidRDefault="00706F1A" w:rsidP="00706F1A">
      <w:pPr>
        <w:pStyle w:val="ListParagraph"/>
        <w:numPr>
          <w:ilvl w:val="0"/>
          <w:numId w:val="5"/>
        </w:numPr>
        <w:spacing w:after="0" w:line="360" w:lineRule="auto"/>
        <w:jc w:val="both"/>
        <w:rPr>
          <w:rFonts w:ascii="Times New Roman" w:hAnsi="Times New Roman"/>
          <w:sz w:val="24"/>
          <w:szCs w:val="24"/>
        </w:rPr>
      </w:pPr>
      <w:r w:rsidRPr="00A200DB">
        <w:rPr>
          <w:rFonts w:ascii="Times New Roman" w:hAnsi="Times New Roman"/>
          <w:sz w:val="24"/>
          <w:szCs w:val="24"/>
        </w:rPr>
        <w:t>Axsen, Jonn, and Kenneth S. Kurani. "Interpersonal influence within car buyers' social networks: Applying five perspectives to plug-in hybrid vehicle drivers." Transportation Research Part A: Policy and Practice 45.9 (2011): 973-982.</w:t>
      </w:r>
    </w:p>
    <w:p w:rsidR="00706F1A" w:rsidRPr="00A200DB" w:rsidRDefault="00706F1A" w:rsidP="00706F1A">
      <w:pPr>
        <w:pStyle w:val="ListParagraph"/>
        <w:numPr>
          <w:ilvl w:val="0"/>
          <w:numId w:val="5"/>
        </w:numPr>
        <w:spacing w:after="0" w:line="360" w:lineRule="auto"/>
        <w:jc w:val="both"/>
        <w:rPr>
          <w:rFonts w:ascii="Times New Roman" w:hAnsi="Times New Roman"/>
          <w:sz w:val="24"/>
          <w:szCs w:val="24"/>
        </w:rPr>
      </w:pPr>
      <w:r w:rsidRPr="00A200DB">
        <w:rPr>
          <w:rFonts w:ascii="Times New Roman" w:hAnsi="Times New Roman"/>
          <w:sz w:val="24"/>
          <w:szCs w:val="24"/>
        </w:rPr>
        <w:t>Zerrahn, Alexander, and Wolf-Peter Schill. "Power system impacts of electric vehicles in Germany: Charging with coal or renewables?" Applied Energy 135 (2014): 600-613.</w:t>
      </w:r>
    </w:p>
    <w:p w:rsidR="00706F1A" w:rsidRPr="00A200DB" w:rsidRDefault="00706F1A" w:rsidP="00706F1A">
      <w:pPr>
        <w:spacing w:after="0" w:line="360" w:lineRule="auto"/>
        <w:jc w:val="both"/>
        <w:rPr>
          <w:rFonts w:ascii="Times New Roman" w:hAnsi="Times New Roman"/>
          <w:b/>
          <w:bCs/>
          <w:sz w:val="28"/>
          <w:szCs w:val="28"/>
        </w:rPr>
      </w:pPr>
      <w:r w:rsidRPr="00A200DB">
        <w:rPr>
          <w:rFonts w:ascii="Times New Roman" w:hAnsi="Times New Roman"/>
          <w:b/>
          <w:bCs/>
          <w:sz w:val="28"/>
          <w:szCs w:val="28"/>
        </w:rPr>
        <w:t>WEBSITES</w:t>
      </w:r>
    </w:p>
    <w:p w:rsidR="00706F1A" w:rsidRPr="00EB35F9" w:rsidRDefault="00706F1A" w:rsidP="00706F1A">
      <w:pPr>
        <w:pStyle w:val="ListParagraph"/>
        <w:numPr>
          <w:ilvl w:val="0"/>
          <w:numId w:val="6"/>
        </w:numPr>
        <w:spacing w:after="0" w:line="360" w:lineRule="auto"/>
        <w:jc w:val="both"/>
        <w:rPr>
          <w:rFonts w:ascii="Times New Roman" w:hAnsi="Times New Roman" w:cs="Times New Roman"/>
          <w:sz w:val="24"/>
          <w:szCs w:val="24"/>
        </w:rPr>
      </w:pPr>
      <w:hyperlink r:id="rId32" w:history="1">
        <w:r w:rsidRPr="00EB35F9">
          <w:rPr>
            <w:rFonts w:ascii="Times New Roman" w:hAnsi="Times New Roman" w:cs="Times New Roman"/>
          </w:rPr>
          <w:t>https://emobilityplus.com</w:t>
        </w:r>
      </w:hyperlink>
    </w:p>
    <w:p w:rsidR="00706F1A" w:rsidRPr="00EB35F9" w:rsidRDefault="00706F1A" w:rsidP="00706F1A">
      <w:pPr>
        <w:pStyle w:val="ListParagraph"/>
        <w:numPr>
          <w:ilvl w:val="0"/>
          <w:numId w:val="6"/>
        </w:numPr>
        <w:spacing w:after="0" w:line="360" w:lineRule="auto"/>
        <w:jc w:val="both"/>
        <w:rPr>
          <w:rFonts w:ascii="Times New Roman" w:hAnsi="Times New Roman" w:cs="Times New Roman"/>
          <w:sz w:val="24"/>
          <w:szCs w:val="24"/>
        </w:rPr>
      </w:pPr>
      <w:r w:rsidRPr="00EB35F9">
        <w:rPr>
          <w:rFonts w:ascii="Times New Roman" w:hAnsi="Times New Roman" w:cs="Times New Roman"/>
          <w:sz w:val="24"/>
          <w:szCs w:val="24"/>
        </w:rPr>
        <w:t>https://www.linkedin.com</w:t>
      </w:r>
    </w:p>
    <w:p w:rsidR="00706F1A" w:rsidRDefault="00706F1A" w:rsidP="00706F1A">
      <w:pPr>
        <w:spacing w:after="0" w:line="360" w:lineRule="auto"/>
        <w:rPr>
          <w:rFonts w:ascii="Times New Roman" w:hAnsi="Times New Roman"/>
          <w:sz w:val="24"/>
          <w:szCs w:val="24"/>
        </w:rPr>
      </w:pPr>
    </w:p>
    <w:p w:rsidR="00706F1A" w:rsidRDefault="00706F1A" w:rsidP="00706F1A">
      <w:pPr>
        <w:spacing w:line="360" w:lineRule="auto"/>
        <w:jc w:val="center"/>
        <w:rPr>
          <w:rFonts w:ascii="Times New Roman" w:hAnsi="Times New Roman" w:cs="Times New Roman"/>
          <w:b/>
          <w:sz w:val="36"/>
          <w:szCs w:val="28"/>
          <w:u w:val="single"/>
        </w:rPr>
      </w:pPr>
    </w:p>
    <w:p w:rsidR="00706F1A" w:rsidRDefault="00706F1A" w:rsidP="00706F1A">
      <w:pPr>
        <w:spacing w:line="360" w:lineRule="auto"/>
        <w:jc w:val="center"/>
        <w:rPr>
          <w:rFonts w:ascii="Times New Roman" w:hAnsi="Times New Roman" w:cs="Times New Roman"/>
          <w:b/>
          <w:sz w:val="36"/>
          <w:szCs w:val="28"/>
          <w:u w:val="single"/>
        </w:rPr>
      </w:pPr>
    </w:p>
    <w:p w:rsidR="00706F1A" w:rsidRDefault="00706F1A" w:rsidP="00706F1A">
      <w:pPr>
        <w:spacing w:line="360" w:lineRule="auto"/>
        <w:jc w:val="center"/>
        <w:rPr>
          <w:rFonts w:ascii="Times New Roman" w:hAnsi="Times New Roman" w:cs="Times New Roman"/>
          <w:b/>
          <w:sz w:val="36"/>
          <w:szCs w:val="28"/>
          <w:u w:val="single"/>
        </w:rPr>
      </w:pPr>
    </w:p>
    <w:p w:rsidR="00706F1A" w:rsidRDefault="00706F1A" w:rsidP="00706F1A">
      <w:pPr>
        <w:spacing w:line="360" w:lineRule="auto"/>
        <w:jc w:val="center"/>
        <w:rPr>
          <w:rFonts w:ascii="Times New Roman" w:hAnsi="Times New Roman" w:cs="Times New Roman"/>
          <w:b/>
          <w:sz w:val="36"/>
          <w:szCs w:val="28"/>
          <w:u w:val="single"/>
        </w:rPr>
      </w:pPr>
    </w:p>
    <w:p w:rsidR="00706F1A" w:rsidRDefault="00706F1A" w:rsidP="00706F1A">
      <w:pPr>
        <w:spacing w:line="360" w:lineRule="auto"/>
        <w:jc w:val="center"/>
        <w:rPr>
          <w:rFonts w:ascii="Times New Roman" w:hAnsi="Times New Roman" w:cs="Times New Roman"/>
          <w:b/>
          <w:sz w:val="36"/>
          <w:szCs w:val="28"/>
          <w:u w:val="single"/>
        </w:rPr>
      </w:pPr>
    </w:p>
    <w:p w:rsidR="00706F1A" w:rsidRDefault="00706F1A" w:rsidP="00706F1A">
      <w:pPr>
        <w:spacing w:line="360" w:lineRule="auto"/>
        <w:jc w:val="center"/>
        <w:rPr>
          <w:rFonts w:ascii="Times New Roman" w:hAnsi="Times New Roman" w:cs="Times New Roman"/>
          <w:b/>
          <w:sz w:val="32"/>
          <w:szCs w:val="24"/>
        </w:rPr>
      </w:pPr>
    </w:p>
    <w:p w:rsidR="00706F1A" w:rsidRDefault="00706F1A" w:rsidP="00706F1A">
      <w:pPr>
        <w:spacing w:line="360" w:lineRule="auto"/>
        <w:jc w:val="center"/>
        <w:rPr>
          <w:rFonts w:ascii="Times New Roman" w:hAnsi="Times New Roman" w:cs="Times New Roman"/>
          <w:b/>
          <w:sz w:val="32"/>
          <w:szCs w:val="24"/>
        </w:rPr>
      </w:pPr>
      <w:r w:rsidRPr="009F3C76">
        <w:rPr>
          <w:rFonts w:ascii="Times New Roman" w:hAnsi="Times New Roman" w:cs="Times New Roman"/>
          <w:b/>
          <w:sz w:val="32"/>
          <w:szCs w:val="24"/>
        </w:rPr>
        <w:lastRenderedPageBreak/>
        <w:t>QUESTIONNAIRE</w:t>
      </w:r>
    </w:p>
    <w:p w:rsidR="00706F1A" w:rsidRPr="00A200DB" w:rsidRDefault="00706F1A" w:rsidP="00706F1A">
      <w:pPr>
        <w:spacing w:after="0" w:line="360" w:lineRule="auto"/>
        <w:rPr>
          <w:rFonts w:ascii="Times New Roman" w:hAnsi="Times New Roman"/>
          <w:bCs/>
          <w:sz w:val="24"/>
        </w:rPr>
      </w:pPr>
      <w:r w:rsidRPr="00A200DB">
        <w:rPr>
          <w:rFonts w:ascii="Times New Roman" w:hAnsi="Times New Roman"/>
          <w:bCs/>
          <w:sz w:val="24"/>
        </w:rPr>
        <w:t>Name</w:t>
      </w:r>
    </w:p>
    <w:p w:rsidR="00706F1A" w:rsidRPr="00A200DB" w:rsidRDefault="00706F1A" w:rsidP="00706F1A">
      <w:pPr>
        <w:spacing w:after="0" w:line="360" w:lineRule="auto"/>
        <w:rPr>
          <w:rFonts w:ascii="Times New Roman" w:hAnsi="Times New Roman"/>
          <w:bCs/>
          <w:sz w:val="24"/>
        </w:rPr>
      </w:pPr>
      <w:r w:rsidRPr="00A200DB">
        <w:rPr>
          <w:rFonts w:ascii="Times New Roman" w:hAnsi="Times New Roman"/>
          <w:bCs/>
          <w:sz w:val="24"/>
        </w:rPr>
        <w:t>Age</w:t>
      </w:r>
    </w:p>
    <w:p w:rsidR="00706F1A" w:rsidRPr="00A200DB" w:rsidRDefault="00706F1A" w:rsidP="00706F1A">
      <w:pPr>
        <w:spacing w:after="0" w:line="360" w:lineRule="auto"/>
        <w:rPr>
          <w:rFonts w:ascii="Times New Roman" w:hAnsi="Times New Roman"/>
          <w:bCs/>
          <w:sz w:val="24"/>
        </w:rPr>
      </w:pPr>
      <w:r w:rsidRPr="00A200DB">
        <w:rPr>
          <w:rFonts w:ascii="Times New Roman" w:hAnsi="Times New Roman"/>
          <w:bCs/>
          <w:sz w:val="24"/>
        </w:rPr>
        <w:t xml:space="preserve">Gender </w:t>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Well-lit charging stations contribute to user safety for electric vehicle charging.</w:t>
      </w:r>
    </w:p>
    <w:p w:rsidR="00706F1A" w:rsidRPr="009D3D0E" w:rsidRDefault="00706F1A" w:rsidP="00706F1A">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Strongly disagree</w:t>
      </w:r>
    </w:p>
    <w:p w:rsidR="00706F1A" w:rsidRPr="009D3D0E" w:rsidRDefault="00706F1A" w:rsidP="00706F1A">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Disagree</w:t>
      </w:r>
    </w:p>
    <w:p w:rsidR="00706F1A" w:rsidRPr="009D3D0E" w:rsidRDefault="00706F1A" w:rsidP="00706F1A">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Neutral</w:t>
      </w:r>
    </w:p>
    <w:p w:rsidR="00706F1A" w:rsidRPr="009D3D0E" w:rsidRDefault="00706F1A" w:rsidP="00706F1A">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 xml:space="preserve">Agree </w:t>
      </w:r>
    </w:p>
    <w:p w:rsidR="00706F1A" w:rsidRPr="009D3D0E" w:rsidRDefault="00706F1A" w:rsidP="00706F1A">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Strongly agree</w:t>
      </w:r>
      <w:r w:rsidRPr="009D3D0E">
        <w:rPr>
          <w:rFonts w:ascii="Times New Roman" w:hAnsi="Times New Roman"/>
          <w:sz w:val="24"/>
          <w:szCs w:val="24"/>
        </w:rPr>
        <w:tab/>
      </w:r>
      <w:r w:rsidRPr="009D3D0E">
        <w:rPr>
          <w:rFonts w:ascii="Times New Roman" w:hAnsi="Times New Roman"/>
          <w:sz w:val="24"/>
          <w:szCs w:val="24"/>
        </w:rPr>
        <w:tab/>
      </w:r>
      <w:r w:rsidRPr="009D3D0E">
        <w:rPr>
          <w:rFonts w:ascii="Times New Roman" w:hAnsi="Times New Roman"/>
          <w:sz w:val="24"/>
          <w:szCs w:val="24"/>
        </w:rPr>
        <w:tab/>
      </w:r>
      <w:r w:rsidRPr="009D3D0E">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Effective signage and markings at charging stations enhance safety measures.</w:t>
      </w:r>
      <w:r w:rsidRPr="009D3D0E">
        <w:rPr>
          <w:rFonts w:ascii="Times New Roman" w:hAnsi="Times New Roman"/>
          <w:sz w:val="24"/>
          <w:szCs w:val="24"/>
        </w:rPr>
        <w:tab/>
      </w:r>
    </w:p>
    <w:p w:rsidR="00706F1A" w:rsidRPr="00355007" w:rsidRDefault="00706F1A" w:rsidP="00706F1A">
      <w:pPr>
        <w:pStyle w:val="ListParagraph"/>
        <w:numPr>
          <w:ilvl w:val="0"/>
          <w:numId w:val="9"/>
        </w:numPr>
        <w:spacing w:after="0" w:line="360" w:lineRule="auto"/>
        <w:ind w:left="709"/>
        <w:rPr>
          <w:rFonts w:ascii="Times New Roman" w:hAnsi="Times New Roman"/>
          <w:sz w:val="24"/>
          <w:szCs w:val="24"/>
        </w:rPr>
      </w:pPr>
      <w:r w:rsidRPr="00355007">
        <w:rPr>
          <w:rFonts w:ascii="Times New Roman" w:hAnsi="Times New Roman"/>
          <w:sz w:val="24"/>
          <w:szCs w:val="24"/>
        </w:rPr>
        <w:t>Strongly disagree</w:t>
      </w:r>
    </w:p>
    <w:p w:rsidR="00706F1A" w:rsidRPr="00355007" w:rsidRDefault="00706F1A" w:rsidP="00706F1A">
      <w:pPr>
        <w:pStyle w:val="ListParagraph"/>
        <w:numPr>
          <w:ilvl w:val="0"/>
          <w:numId w:val="9"/>
        </w:numPr>
        <w:spacing w:after="0" w:line="360" w:lineRule="auto"/>
        <w:ind w:left="709"/>
        <w:rPr>
          <w:rFonts w:ascii="Times New Roman" w:hAnsi="Times New Roman"/>
          <w:sz w:val="24"/>
          <w:szCs w:val="24"/>
        </w:rPr>
      </w:pPr>
      <w:r w:rsidRPr="00355007">
        <w:rPr>
          <w:rFonts w:ascii="Times New Roman" w:hAnsi="Times New Roman"/>
          <w:sz w:val="24"/>
          <w:szCs w:val="24"/>
        </w:rPr>
        <w:t>Disagree</w:t>
      </w:r>
    </w:p>
    <w:p w:rsidR="00706F1A" w:rsidRPr="00355007" w:rsidRDefault="00706F1A" w:rsidP="00706F1A">
      <w:pPr>
        <w:pStyle w:val="ListParagraph"/>
        <w:numPr>
          <w:ilvl w:val="0"/>
          <w:numId w:val="9"/>
        </w:numPr>
        <w:spacing w:after="0" w:line="360" w:lineRule="auto"/>
        <w:ind w:left="709"/>
        <w:rPr>
          <w:rFonts w:ascii="Times New Roman" w:hAnsi="Times New Roman"/>
          <w:sz w:val="24"/>
          <w:szCs w:val="24"/>
        </w:rPr>
      </w:pPr>
      <w:r w:rsidRPr="00355007">
        <w:rPr>
          <w:rFonts w:ascii="Times New Roman" w:hAnsi="Times New Roman"/>
          <w:sz w:val="24"/>
          <w:szCs w:val="24"/>
        </w:rPr>
        <w:t>Neutral</w:t>
      </w:r>
    </w:p>
    <w:p w:rsidR="00706F1A" w:rsidRPr="00355007" w:rsidRDefault="00706F1A" w:rsidP="00706F1A">
      <w:pPr>
        <w:pStyle w:val="ListParagraph"/>
        <w:numPr>
          <w:ilvl w:val="0"/>
          <w:numId w:val="9"/>
        </w:numPr>
        <w:spacing w:after="0" w:line="360" w:lineRule="auto"/>
        <w:ind w:left="709"/>
        <w:rPr>
          <w:rFonts w:ascii="Times New Roman" w:hAnsi="Times New Roman"/>
          <w:sz w:val="24"/>
          <w:szCs w:val="24"/>
        </w:rPr>
      </w:pPr>
      <w:r w:rsidRPr="00355007">
        <w:rPr>
          <w:rFonts w:ascii="Times New Roman" w:hAnsi="Times New Roman"/>
          <w:sz w:val="24"/>
          <w:szCs w:val="24"/>
        </w:rPr>
        <w:t xml:space="preserve">Agree </w:t>
      </w:r>
    </w:p>
    <w:p w:rsidR="00706F1A" w:rsidRPr="009D3D0E" w:rsidRDefault="00706F1A" w:rsidP="00706F1A">
      <w:pPr>
        <w:pStyle w:val="ListParagraph"/>
        <w:numPr>
          <w:ilvl w:val="0"/>
          <w:numId w:val="9"/>
        </w:numPr>
        <w:spacing w:after="0" w:line="360" w:lineRule="auto"/>
        <w:ind w:left="709"/>
        <w:rPr>
          <w:rFonts w:ascii="Times New Roman" w:hAnsi="Times New Roman"/>
          <w:sz w:val="24"/>
          <w:szCs w:val="24"/>
        </w:rPr>
      </w:pPr>
      <w:r w:rsidRPr="00355007">
        <w:rPr>
          <w:rFonts w:ascii="Times New Roman" w:hAnsi="Times New Roman"/>
          <w:sz w:val="24"/>
          <w:szCs w:val="24"/>
        </w:rPr>
        <w:t>Strongly agree</w:t>
      </w:r>
      <w:r w:rsidRPr="00355007">
        <w:rPr>
          <w:rFonts w:ascii="Times New Roman" w:hAnsi="Times New Roman"/>
          <w:sz w:val="24"/>
          <w:szCs w:val="24"/>
        </w:rPr>
        <w:tab/>
      </w:r>
      <w:r w:rsidRPr="00355007">
        <w:rPr>
          <w:rFonts w:ascii="Times New Roman" w:hAnsi="Times New Roman"/>
          <w:sz w:val="24"/>
          <w:szCs w:val="24"/>
        </w:rPr>
        <w:tab/>
      </w:r>
      <w:r w:rsidRPr="009D3D0E">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Regular maintenance of charging infrastructure reduces safety risks.</w:t>
      </w:r>
      <w:r w:rsidRPr="009D3D0E">
        <w:rPr>
          <w:rFonts w:ascii="Times New Roman" w:hAnsi="Times New Roman"/>
          <w:sz w:val="24"/>
          <w:szCs w:val="24"/>
        </w:rPr>
        <w:tab/>
      </w:r>
    </w:p>
    <w:p w:rsidR="00706F1A" w:rsidRPr="00A777EE" w:rsidRDefault="00706F1A" w:rsidP="00706F1A">
      <w:pPr>
        <w:pStyle w:val="ListParagraph"/>
        <w:spacing w:after="0" w:line="360" w:lineRule="auto"/>
        <w:ind w:left="360"/>
        <w:rPr>
          <w:rFonts w:ascii="Times New Roman" w:hAnsi="Times New Roman"/>
          <w:sz w:val="24"/>
          <w:szCs w:val="24"/>
        </w:rPr>
      </w:pPr>
      <w:r w:rsidRPr="00A777EE">
        <w:rPr>
          <w:rFonts w:ascii="Times New Roman" w:hAnsi="Times New Roman"/>
          <w:sz w:val="24"/>
          <w:szCs w:val="24"/>
        </w:rPr>
        <w:t>a)</w:t>
      </w:r>
      <w:r w:rsidRPr="00A777EE">
        <w:rPr>
          <w:rFonts w:ascii="Times New Roman" w:hAnsi="Times New Roman"/>
          <w:sz w:val="24"/>
          <w:szCs w:val="24"/>
        </w:rPr>
        <w:tab/>
        <w:t>Strongly disagree</w:t>
      </w:r>
    </w:p>
    <w:p w:rsidR="00706F1A" w:rsidRPr="00A777EE" w:rsidRDefault="00706F1A" w:rsidP="00706F1A">
      <w:pPr>
        <w:pStyle w:val="ListParagraph"/>
        <w:spacing w:after="0" w:line="360" w:lineRule="auto"/>
        <w:ind w:left="360"/>
        <w:rPr>
          <w:rFonts w:ascii="Times New Roman" w:hAnsi="Times New Roman"/>
          <w:sz w:val="24"/>
          <w:szCs w:val="24"/>
        </w:rPr>
      </w:pPr>
      <w:r w:rsidRPr="00A777EE">
        <w:rPr>
          <w:rFonts w:ascii="Times New Roman" w:hAnsi="Times New Roman"/>
          <w:sz w:val="24"/>
          <w:szCs w:val="24"/>
        </w:rPr>
        <w:t>b)</w:t>
      </w:r>
      <w:r w:rsidRPr="00A777EE">
        <w:rPr>
          <w:rFonts w:ascii="Times New Roman" w:hAnsi="Times New Roman"/>
          <w:sz w:val="24"/>
          <w:szCs w:val="24"/>
        </w:rPr>
        <w:tab/>
        <w:t>Disagree</w:t>
      </w:r>
    </w:p>
    <w:p w:rsidR="00706F1A" w:rsidRPr="00A777EE" w:rsidRDefault="00706F1A" w:rsidP="00706F1A">
      <w:pPr>
        <w:pStyle w:val="ListParagraph"/>
        <w:spacing w:after="0" w:line="360" w:lineRule="auto"/>
        <w:ind w:left="360"/>
        <w:rPr>
          <w:rFonts w:ascii="Times New Roman" w:hAnsi="Times New Roman"/>
          <w:sz w:val="24"/>
          <w:szCs w:val="24"/>
        </w:rPr>
      </w:pPr>
      <w:r w:rsidRPr="00A777EE">
        <w:rPr>
          <w:rFonts w:ascii="Times New Roman" w:hAnsi="Times New Roman"/>
          <w:sz w:val="24"/>
          <w:szCs w:val="24"/>
        </w:rPr>
        <w:t>c)</w:t>
      </w:r>
      <w:r w:rsidRPr="00A777EE">
        <w:rPr>
          <w:rFonts w:ascii="Times New Roman" w:hAnsi="Times New Roman"/>
          <w:sz w:val="24"/>
          <w:szCs w:val="24"/>
        </w:rPr>
        <w:tab/>
        <w:t>Neutral</w:t>
      </w:r>
    </w:p>
    <w:p w:rsidR="00706F1A" w:rsidRPr="00A777EE" w:rsidRDefault="00706F1A" w:rsidP="00706F1A">
      <w:pPr>
        <w:pStyle w:val="ListParagraph"/>
        <w:spacing w:after="0" w:line="360" w:lineRule="auto"/>
        <w:ind w:left="360"/>
        <w:rPr>
          <w:rFonts w:ascii="Times New Roman" w:hAnsi="Times New Roman"/>
          <w:sz w:val="24"/>
          <w:szCs w:val="24"/>
        </w:rPr>
      </w:pPr>
      <w:r w:rsidRPr="00A777EE">
        <w:rPr>
          <w:rFonts w:ascii="Times New Roman" w:hAnsi="Times New Roman"/>
          <w:sz w:val="24"/>
          <w:szCs w:val="24"/>
        </w:rPr>
        <w:t>d)</w:t>
      </w:r>
      <w:r w:rsidRPr="00A777EE">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A777EE">
        <w:rPr>
          <w:rFonts w:ascii="Times New Roman" w:hAnsi="Times New Roman"/>
          <w:sz w:val="24"/>
          <w:szCs w:val="24"/>
        </w:rPr>
        <w:t>e)</w:t>
      </w:r>
      <w:r w:rsidRPr="00A777EE">
        <w:rPr>
          <w:rFonts w:ascii="Times New Roman" w:hAnsi="Times New Roman"/>
          <w:sz w:val="24"/>
          <w:szCs w:val="24"/>
        </w:rPr>
        <w:tab/>
        <w:t>Strongly agree</w:t>
      </w:r>
      <w:r w:rsidRPr="00A777EE">
        <w:rPr>
          <w:rFonts w:ascii="Times New Roman" w:hAnsi="Times New Roman"/>
          <w:sz w:val="24"/>
          <w:szCs w:val="24"/>
        </w:rPr>
        <w:tab/>
      </w:r>
    </w:p>
    <w:p w:rsidR="00706F1A" w:rsidRDefault="00706F1A" w:rsidP="00706F1A">
      <w:pPr>
        <w:pStyle w:val="ListParagraph"/>
        <w:numPr>
          <w:ilvl w:val="1"/>
          <w:numId w:val="7"/>
        </w:numPr>
        <w:spacing w:after="0" w:line="360" w:lineRule="auto"/>
        <w:jc w:val="both"/>
        <w:rPr>
          <w:rFonts w:ascii="Times New Roman" w:hAnsi="Times New Roman"/>
          <w:sz w:val="24"/>
          <w:szCs w:val="24"/>
        </w:rPr>
      </w:pPr>
      <w:r w:rsidRPr="009D3D0E">
        <w:rPr>
          <w:rFonts w:ascii="Times New Roman" w:hAnsi="Times New Roman"/>
          <w:sz w:val="24"/>
          <w:szCs w:val="24"/>
        </w:rPr>
        <w:t>Charging stations equipped with emergency response plans provide added safety assurance.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a)</w:t>
      </w:r>
      <w:r w:rsidRPr="00B41B06">
        <w:rPr>
          <w:rFonts w:ascii="Times New Roman" w:hAnsi="Times New Roman"/>
          <w:sz w:val="24"/>
          <w:szCs w:val="24"/>
        </w:rPr>
        <w:tab/>
        <w:t>Strongly 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b)</w:t>
      </w:r>
      <w:r w:rsidRPr="00B41B06">
        <w:rPr>
          <w:rFonts w:ascii="Times New Roman" w:hAnsi="Times New Roman"/>
          <w:sz w:val="24"/>
          <w:szCs w:val="24"/>
        </w:rPr>
        <w:tab/>
        <w:t>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c)</w:t>
      </w:r>
      <w:r w:rsidRPr="00B41B06">
        <w:rPr>
          <w:rFonts w:ascii="Times New Roman" w:hAnsi="Times New Roman"/>
          <w:sz w:val="24"/>
          <w:szCs w:val="24"/>
        </w:rPr>
        <w:tab/>
        <w:t>Neutral</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d)</w:t>
      </w:r>
      <w:r w:rsidRPr="00B41B06">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e)</w:t>
      </w:r>
      <w:r w:rsidRPr="00B41B06">
        <w:rPr>
          <w:rFonts w:ascii="Times New Roman" w:hAnsi="Times New Roman"/>
          <w:sz w:val="24"/>
          <w:szCs w:val="24"/>
        </w:rPr>
        <w:tab/>
        <w:t>Strongly agree</w:t>
      </w:r>
      <w:r w:rsidRPr="00B41B06">
        <w:rPr>
          <w:rFonts w:ascii="Times New Roman" w:hAnsi="Times New Roman"/>
          <w:sz w:val="24"/>
          <w:szCs w:val="24"/>
        </w:rPr>
        <w:tab/>
      </w:r>
    </w:p>
    <w:p w:rsidR="00706F1A" w:rsidRDefault="00706F1A" w:rsidP="00706F1A">
      <w:pPr>
        <w:pStyle w:val="ListParagraph"/>
        <w:spacing w:after="0" w:line="360" w:lineRule="auto"/>
        <w:ind w:left="360"/>
        <w:rPr>
          <w:rFonts w:ascii="Times New Roman" w:hAnsi="Times New Roman"/>
          <w:sz w:val="24"/>
          <w:szCs w:val="24"/>
        </w:rPr>
      </w:pPr>
    </w:p>
    <w:p w:rsidR="00706F1A" w:rsidRDefault="00706F1A" w:rsidP="00706F1A">
      <w:pPr>
        <w:pStyle w:val="ListParagraph"/>
        <w:spacing w:after="0" w:line="360" w:lineRule="auto"/>
        <w:ind w:left="360"/>
        <w:rPr>
          <w:rFonts w:ascii="Times New Roman" w:hAnsi="Times New Roman"/>
          <w:sz w:val="24"/>
          <w:szCs w:val="24"/>
        </w:rPr>
      </w:pP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lastRenderedPageBreak/>
        <w:t>Safety certifications for charging equipment are pivotal for ensuring user safety.</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a)</w:t>
      </w:r>
      <w:r w:rsidRPr="00B41B06">
        <w:rPr>
          <w:rFonts w:ascii="Times New Roman" w:hAnsi="Times New Roman"/>
          <w:sz w:val="24"/>
          <w:szCs w:val="24"/>
        </w:rPr>
        <w:tab/>
        <w:t>Strongly 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b)</w:t>
      </w:r>
      <w:r w:rsidRPr="00B41B06">
        <w:rPr>
          <w:rFonts w:ascii="Times New Roman" w:hAnsi="Times New Roman"/>
          <w:sz w:val="24"/>
          <w:szCs w:val="24"/>
        </w:rPr>
        <w:tab/>
        <w:t>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c)</w:t>
      </w:r>
      <w:r w:rsidRPr="00B41B06">
        <w:rPr>
          <w:rFonts w:ascii="Times New Roman" w:hAnsi="Times New Roman"/>
          <w:sz w:val="24"/>
          <w:szCs w:val="24"/>
        </w:rPr>
        <w:tab/>
        <w:t>Neutral</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d)</w:t>
      </w:r>
      <w:r w:rsidRPr="00B41B06">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e)</w:t>
      </w:r>
      <w:r w:rsidRPr="00B41B06">
        <w:rPr>
          <w:rFonts w:ascii="Times New Roman" w:hAnsi="Times New Roman"/>
          <w:sz w:val="24"/>
          <w:szCs w:val="24"/>
        </w:rPr>
        <w:tab/>
        <w:t>Strongly agree</w:t>
      </w:r>
      <w:r w:rsidRPr="00B41B06">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Charging stations offering fast-charging capabilities meet user needs effectively.</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a)</w:t>
      </w:r>
      <w:r w:rsidRPr="00B41B06">
        <w:rPr>
          <w:rFonts w:ascii="Times New Roman" w:hAnsi="Times New Roman"/>
          <w:sz w:val="24"/>
          <w:szCs w:val="24"/>
        </w:rPr>
        <w:tab/>
        <w:t>Strongly 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b)</w:t>
      </w:r>
      <w:r w:rsidRPr="00B41B06">
        <w:rPr>
          <w:rFonts w:ascii="Times New Roman" w:hAnsi="Times New Roman"/>
          <w:sz w:val="24"/>
          <w:szCs w:val="24"/>
        </w:rPr>
        <w:tab/>
        <w:t>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c)</w:t>
      </w:r>
      <w:r w:rsidRPr="00B41B06">
        <w:rPr>
          <w:rFonts w:ascii="Times New Roman" w:hAnsi="Times New Roman"/>
          <w:sz w:val="24"/>
          <w:szCs w:val="24"/>
        </w:rPr>
        <w:tab/>
        <w:t>Neutral</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d)</w:t>
      </w:r>
      <w:r w:rsidRPr="00B41B06">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e)</w:t>
      </w:r>
      <w:r w:rsidRPr="00B41B06">
        <w:rPr>
          <w:rFonts w:ascii="Times New Roman" w:hAnsi="Times New Roman"/>
          <w:sz w:val="24"/>
          <w:szCs w:val="24"/>
        </w:rPr>
        <w:tab/>
        <w:t>Strongly agree</w:t>
      </w:r>
      <w:r w:rsidRPr="00B41B06">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Reliability of charging infrastructure impacts the effectiveness of electric vehicle adoption.</w:t>
      </w:r>
      <w:r w:rsidRPr="009D3D0E">
        <w:rPr>
          <w:rFonts w:ascii="Times New Roman" w:hAnsi="Times New Roman"/>
          <w:sz w:val="24"/>
          <w:szCs w:val="24"/>
        </w:rPr>
        <w:tab/>
      </w:r>
      <w:r w:rsidRPr="009D3D0E">
        <w:rPr>
          <w:rFonts w:ascii="Times New Roman" w:hAnsi="Times New Roman"/>
          <w:sz w:val="24"/>
          <w:szCs w:val="24"/>
        </w:rPr>
        <w:tab/>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a)</w:t>
      </w:r>
      <w:r w:rsidRPr="00B41B06">
        <w:rPr>
          <w:rFonts w:ascii="Times New Roman" w:hAnsi="Times New Roman"/>
          <w:sz w:val="24"/>
          <w:szCs w:val="24"/>
        </w:rPr>
        <w:tab/>
        <w:t>Strongly 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b)</w:t>
      </w:r>
      <w:r w:rsidRPr="00B41B06">
        <w:rPr>
          <w:rFonts w:ascii="Times New Roman" w:hAnsi="Times New Roman"/>
          <w:sz w:val="24"/>
          <w:szCs w:val="24"/>
        </w:rPr>
        <w:tab/>
        <w:t>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c)</w:t>
      </w:r>
      <w:r w:rsidRPr="00B41B06">
        <w:rPr>
          <w:rFonts w:ascii="Times New Roman" w:hAnsi="Times New Roman"/>
          <w:sz w:val="24"/>
          <w:szCs w:val="24"/>
        </w:rPr>
        <w:tab/>
        <w:t>Neutral</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d)</w:t>
      </w:r>
      <w:r w:rsidRPr="00B41B06">
        <w:rPr>
          <w:rFonts w:ascii="Times New Roman" w:hAnsi="Times New Roman"/>
          <w:sz w:val="24"/>
          <w:szCs w:val="24"/>
        </w:rPr>
        <w:tab/>
        <w:t xml:space="preserve">Agree </w:t>
      </w:r>
    </w:p>
    <w:p w:rsidR="00706F1A" w:rsidRPr="00D97F34"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e)</w:t>
      </w:r>
      <w:r w:rsidRPr="00B41B06">
        <w:rPr>
          <w:rFonts w:ascii="Times New Roman" w:hAnsi="Times New Roman"/>
          <w:sz w:val="24"/>
          <w:szCs w:val="24"/>
        </w:rPr>
        <w:tab/>
        <w:t>Strongly agree</w:t>
      </w:r>
      <w:r w:rsidRPr="00B41B06">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Integration of renewable energy sources enhances the effectiveness of charging infrastructure.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a)</w:t>
      </w:r>
      <w:r w:rsidRPr="00B41B06">
        <w:rPr>
          <w:rFonts w:ascii="Times New Roman" w:hAnsi="Times New Roman"/>
          <w:sz w:val="24"/>
          <w:szCs w:val="24"/>
        </w:rPr>
        <w:tab/>
        <w:t>Strongly 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b)</w:t>
      </w:r>
      <w:r w:rsidRPr="00B41B06">
        <w:rPr>
          <w:rFonts w:ascii="Times New Roman" w:hAnsi="Times New Roman"/>
          <w:sz w:val="24"/>
          <w:szCs w:val="24"/>
        </w:rPr>
        <w:tab/>
        <w:t>Disagree</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c)</w:t>
      </w:r>
      <w:r w:rsidRPr="00B41B06">
        <w:rPr>
          <w:rFonts w:ascii="Times New Roman" w:hAnsi="Times New Roman"/>
          <w:sz w:val="24"/>
          <w:szCs w:val="24"/>
        </w:rPr>
        <w:tab/>
        <w:t>Neutral</w:t>
      </w:r>
    </w:p>
    <w:p w:rsidR="00706F1A" w:rsidRPr="00B41B06"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d)</w:t>
      </w:r>
      <w:r w:rsidRPr="00B41B06">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B41B06">
        <w:rPr>
          <w:rFonts w:ascii="Times New Roman" w:hAnsi="Times New Roman"/>
          <w:sz w:val="24"/>
          <w:szCs w:val="24"/>
        </w:rPr>
        <w:t>e)</w:t>
      </w:r>
      <w:r w:rsidRPr="00B41B06">
        <w:rPr>
          <w:rFonts w:ascii="Times New Roman" w:hAnsi="Times New Roman"/>
          <w:sz w:val="24"/>
          <w:szCs w:val="24"/>
        </w:rPr>
        <w:tab/>
        <w:t>Strongly agree</w:t>
      </w:r>
      <w:r w:rsidRPr="00B41B06">
        <w:rPr>
          <w:rFonts w:ascii="Times New Roman" w:hAnsi="Times New Roman"/>
          <w:sz w:val="24"/>
          <w:szCs w:val="24"/>
        </w:rPr>
        <w:tab/>
      </w:r>
      <w:r w:rsidRPr="009D3D0E">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Compatibility with diverse electric vehicle models enhances charging station effectiveness.</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lastRenderedPageBreak/>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Accessibility of charging stations in both urban and rural areas improves overall effectiveness.</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Charging station density significantly influences electric vehicle adoption rates.</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Offering various charging options contributes to a robust charging infrastructure.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Smart charging features, like scheduling and remote monitoring, optimize infrastructure use.</w:t>
      </w:r>
      <w:r w:rsidRPr="009D3D0E">
        <w:rPr>
          <w:rFonts w:ascii="Times New Roman" w:hAnsi="Times New Roman"/>
          <w:sz w:val="24"/>
          <w:szCs w:val="24"/>
        </w:rPr>
        <w:tab/>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Scalable infrastructure is essential to accommodate future electric vehicle growth.</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lastRenderedPageBreak/>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Accessible charging infrastructure in public spaces promotes electric vehicle usage.</w:t>
      </w:r>
      <w:r w:rsidRPr="009D3D0E">
        <w:rPr>
          <w:rFonts w:ascii="Times New Roman" w:hAnsi="Times New Roman"/>
          <w:sz w:val="24"/>
          <w:szCs w:val="24"/>
        </w:rPr>
        <w:tab/>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Availability of charging infrastructure influences electric vehicle purchase decisions.</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Public awareness campaigns encourage the adoption of electric vehicles.</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a)</w:t>
      </w:r>
      <w:r w:rsidRPr="00D064D9">
        <w:rPr>
          <w:rFonts w:ascii="Times New Roman" w:hAnsi="Times New Roman"/>
          <w:sz w:val="24"/>
          <w:szCs w:val="24"/>
        </w:rPr>
        <w:tab/>
        <w:t>Strongly 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b)</w:t>
      </w:r>
      <w:r w:rsidRPr="00D064D9">
        <w:rPr>
          <w:rFonts w:ascii="Times New Roman" w:hAnsi="Times New Roman"/>
          <w:sz w:val="24"/>
          <w:szCs w:val="24"/>
        </w:rPr>
        <w:tab/>
        <w:t>Disagree</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c)</w:t>
      </w:r>
      <w:r w:rsidRPr="00D064D9">
        <w:rPr>
          <w:rFonts w:ascii="Times New Roman" w:hAnsi="Times New Roman"/>
          <w:sz w:val="24"/>
          <w:szCs w:val="24"/>
        </w:rPr>
        <w:tab/>
        <w:t>Neutral</w:t>
      </w:r>
    </w:p>
    <w:p w:rsidR="00706F1A" w:rsidRPr="00D064D9"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d)</w:t>
      </w:r>
      <w:r w:rsidRPr="00D064D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D064D9">
        <w:rPr>
          <w:rFonts w:ascii="Times New Roman" w:hAnsi="Times New Roman"/>
          <w:sz w:val="24"/>
          <w:szCs w:val="24"/>
        </w:rPr>
        <w:t>e)</w:t>
      </w:r>
      <w:r w:rsidRPr="00D064D9">
        <w:rPr>
          <w:rFonts w:ascii="Times New Roman" w:hAnsi="Times New Roman"/>
          <w:sz w:val="24"/>
          <w:szCs w:val="24"/>
        </w:rPr>
        <w:tab/>
        <w:t>Strongly agree</w:t>
      </w:r>
      <w:r w:rsidRPr="00D064D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Positive experiences with electric vehicles among peers and family members drive adoption.</w:t>
      </w:r>
      <w:r w:rsidRPr="009D3D0E">
        <w:rPr>
          <w:rFonts w:ascii="Times New Roman" w:hAnsi="Times New Roman"/>
          <w:sz w:val="24"/>
          <w:szCs w:val="24"/>
        </w:rPr>
        <w:tab/>
      </w:r>
    </w:p>
    <w:p w:rsidR="00706F1A" w:rsidRPr="00527D8F" w:rsidRDefault="00706F1A" w:rsidP="00706F1A">
      <w:pPr>
        <w:pStyle w:val="ListParagraph"/>
        <w:spacing w:after="0" w:line="360" w:lineRule="auto"/>
        <w:ind w:left="360"/>
        <w:rPr>
          <w:rFonts w:ascii="Times New Roman" w:hAnsi="Times New Roman"/>
          <w:sz w:val="24"/>
          <w:szCs w:val="24"/>
        </w:rPr>
      </w:pPr>
      <w:r w:rsidRPr="00527D8F">
        <w:rPr>
          <w:rFonts w:ascii="Times New Roman" w:hAnsi="Times New Roman"/>
          <w:sz w:val="24"/>
          <w:szCs w:val="24"/>
        </w:rPr>
        <w:t>a)</w:t>
      </w:r>
      <w:r w:rsidRPr="00527D8F">
        <w:rPr>
          <w:rFonts w:ascii="Times New Roman" w:hAnsi="Times New Roman"/>
          <w:sz w:val="24"/>
          <w:szCs w:val="24"/>
        </w:rPr>
        <w:tab/>
        <w:t>Strongly disagree</w:t>
      </w:r>
    </w:p>
    <w:p w:rsidR="00706F1A" w:rsidRPr="00527D8F" w:rsidRDefault="00706F1A" w:rsidP="00706F1A">
      <w:pPr>
        <w:pStyle w:val="ListParagraph"/>
        <w:spacing w:after="0" w:line="360" w:lineRule="auto"/>
        <w:ind w:left="360"/>
        <w:rPr>
          <w:rFonts w:ascii="Times New Roman" w:hAnsi="Times New Roman"/>
          <w:sz w:val="24"/>
          <w:szCs w:val="24"/>
        </w:rPr>
      </w:pPr>
      <w:r w:rsidRPr="00527D8F">
        <w:rPr>
          <w:rFonts w:ascii="Times New Roman" w:hAnsi="Times New Roman"/>
          <w:sz w:val="24"/>
          <w:szCs w:val="24"/>
        </w:rPr>
        <w:t>b)</w:t>
      </w:r>
      <w:r w:rsidRPr="00527D8F">
        <w:rPr>
          <w:rFonts w:ascii="Times New Roman" w:hAnsi="Times New Roman"/>
          <w:sz w:val="24"/>
          <w:szCs w:val="24"/>
        </w:rPr>
        <w:tab/>
        <w:t>Disagree</w:t>
      </w:r>
    </w:p>
    <w:p w:rsidR="00706F1A" w:rsidRPr="00527D8F" w:rsidRDefault="00706F1A" w:rsidP="00706F1A">
      <w:pPr>
        <w:pStyle w:val="ListParagraph"/>
        <w:spacing w:after="0" w:line="360" w:lineRule="auto"/>
        <w:ind w:left="360"/>
        <w:rPr>
          <w:rFonts w:ascii="Times New Roman" w:hAnsi="Times New Roman"/>
          <w:sz w:val="24"/>
          <w:szCs w:val="24"/>
        </w:rPr>
      </w:pPr>
      <w:r w:rsidRPr="00527D8F">
        <w:rPr>
          <w:rFonts w:ascii="Times New Roman" w:hAnsi="Times New Roman"/>
          <w:sz w:val="24"/>
          <w:szCs w:val="24"/>
        </w:rPr>
        <w:t>c)</w:t>
      </w:r>
      <w:r w:rsidRPr="00527D8F">
        <w:rPr>
          <w:rFonts w:ascii="Times New Roman" w:hAnsi="Times New Roman"/>
          <w:sz w:val="24"/>
          <w:szCs w:val="24"/>
        </w:rPr>
        <w:tab/>
        <w:t>Neutral</w:t>
      </w:r>
    </w:p>
    <w:p w:rsidR="00706F1A" w:rsidRPr="00527D8F" w:rsidRDefault="00706F1A" w:rsidP="00706F1A">
      <w:pPr>
        <w:pStyle w:val="ListParagraph"/>
        <w:spacing w:after="0" w:line="360" w:lineRule="auto"/>
        <w:ind w:left="360"/>
        <w:rPr>
          <w:rFonts w:ascii="Times New Roman" w:hAnsi="Times New Roman"/>
          <w:sz w:val="24"/>
          <w:szCs w:val="24"/>
        </w:rPr>
      </w:pPr>
      <w:r w:rsidRPr="00527D8F">
        <w:rPr>
          <w:rFonts w:ascii="Times New Roman" w:hAnsi="Times New Roman"/>
          <w:sz w:val="24"/>
          <w:szCs w:val="24"/>
        </w:rPr>
        <w:t>d)</w:t>
      </w:r>
      <w:r w:rsidRPr="00527D8F">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527D8F">
        <w:rPr>
          <w:rFonts w:ascii="Times New Roman" w:hAnsi="Times New Roman"/>
          <w:sz w:val="24"/>
          <w:szCs w:val="24"/>
        </w:rPr>
        <w:t>e)</w:t>
      </w:r>
      <w:r w:rsidRPr="00527D8F">
        <w:rPr>
          <w:rFonts w:ascii="Times New Roman" w:hAnsi="Times New Roman"/>
          <w:sz w:val="24"/>
          <w:szCs w:val="24"/>
        </w:rPr>
        <w:tab/>
        <w:t>Strongly agree</w:t>
      </w:r>
      <w:r w:rsidRPr="00527D8F">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Financial incentives, such as tax credits, play a significant role in encouraging adoption.</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lastRenderedPageBreak/>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r w:rsidRPr="009D3D0E">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Integration of charging infrastructure into urban pla</w:t>
      </w:r>
      <w:r>
        <w:rPr>
          <w:rFonts w:ascii="Times New Roman" w:hAnsi="Times New Roman"/>
          <w:sz w:val="24"/>
          <w:szCs w:val="24"/>
        </w:rPr>
        <w:t>nning facilitates adoption.</w:t>
      </w:r>
      <w:r>
        <w:rPr>
          <w:rFonts w:ascii="Times New Roman" w:hAnsi="Times New Roman"/>
          <w:sz w:val="24"/>
          <w:szCs w:val="24"/>
        </w:rPr>
        <w:tab/>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Clear regulations and standards for charging infrastructure ensure safety and uniformity.</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Collaboration between government agencies and stakeholders is crucial for effective deployment.</w:t>
      </w:r>
      <w:r w:rsidRPr="009D3D0E">
        <w:rPr>
          <w:rFonts w:ascii="Times New Roman" w:hAnsi="Times New Roman"/>
          <w:sz w:val="24"/>
          <w:szCs w:val="24"/>
        </w:rPr>
        <w:tab/>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Transparent pricing policies for charging services promote fairness and accessibility.</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spacing w:after="0" w:line="360" w:lineRule="auto"/>
        <w:ind w:left="360"/>
        <w:rPr>
          <w:rFonts w:ascii="Times New Roman" w:hAnsi="Times New Roman"/>
          <w:sz w:val="24"/>
          <w:szCs w:val="24"/>
        </w:rPr>
      </w:pP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lastRenderedPageBreak/>
        <w:t>Incentives for businesses to invest in charging infrastructure support expansion efforts.</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Monitoring mechanisms for charging station operators ensure compliance with regulations.</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r w:rsidRPr="009D3D0E">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Subsidies for electric vehicle purchases make them more affordable and attractive.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Tax incentives for electric vehicle owners reduce overall ownership costs.</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Priority access to carpool lanes and reduced toll fees incentivize adoption.</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P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bookmarkStart w:id="0" w:name="_GoBack"/>
      <w:bookmarkEnd w:id="0"/>
      <w:r w:rsidRPr="009D3D0E">
        <w:rPr>
          <w:rFonts w:ascii="Times New Roman" w:hAnsi="Times New Roman"/>
          <w:sz w:val="24"/>
          <w:szCs w:val="24"/>
        </w:rPr>
        <w:lastRenderedPageBreak/>
        <w:t>Rebates for home charging station installations encourage residential infrastructure development.</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r w:rsidRPr="009D3D0E">
        <w:rPr>
          <w:rFonts w:ascii="Times New Roman" w:hAnsi="Times New Roman"/>
          <w:sz w:val="24"/>
          <w:szCs w:val="24"/>
        </w:rPr>
        <w:tab/>
      </w:r>
    </w:p>
    <w:p w:rsidR="00706F1A" w:rsidRDefault="00706F1A" w:rsidP="00706F1A">
      <w:pPr>
        <w:pStyle w:val="ListParagraph"/>
        <w:numPr>
          <w:ilvl w:val="1"/>
          <w:numId w:val="7"/>
        </w:numPr>
        <w:spacing w:after="0" w:line="360" w:lineRule="auto"/>
        <w:rPr>
          <w:rFonts w:ascii="Times New Roman" w:hAnsi="Times New Roman"/>
          <w:sz w:val="24"/>
          <w:szCs w:val="24"/>
        </w:rPr>
      </w:pPr>
      <w:r w:rsidRPr="009D3D0E">
        <w:rPr>
          <w:rFonts w:ascii="Times New Roman" w:hAnsi="Times New Roman"/>
          <w:sz w:val="24"/>
          <w:szCs w:val="24"/>
        </w:rPr>
        <w:t>Partnership programs between electric utilities and providers offer discounted charging rates.</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a)</w:t>
      </w:r>
      <w:r w:rsidRPr="00F17CB9">
        <w:rPr>
          <w:rFonts w:ascii="Times New Roman" w:hAnsi="Times New Roman"/>
          <w:sz w:val="24"/>
          <w:szCs w:val="24"/>
        </w:rPr>
        <w:tab/>
        <w:t>Strongly 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b)</w:t>
      </w:r>
      <w:r w:rsidRPr="00F17CB9">
        <w:rPr>
          <w:rFonts w:ascii="Times New Roman" w:hAnsi="Times New Roman"/>
          <w:sz w:val="24"/>
          <w:szCs w:val="24"/>
        </w:rPr>
        <w:tab/>
        <w:t>Disagree</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c)</w:t>
      </w:r>
      <w:r w:rsidRPr="00F17CB9">
        <w:rPr>
          <w:rFonts w:ascii="Times New Roman" w:hAnsi="Times New Roman"/>
          <w:sz w:val="24"/>
          <w:szCs w:val="24"/>
        </w:rPr>
        <w:tab/>
        <w:t>Neutral</w:t>
      </w:r>
    </w:p>
    <w:p w:rsidR="00706F1A" w:rsidRPr="00F17CB9"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d)</w:t>
      </w:r>
      <w:r w:rsidRPr="00F17CB9">
        <w:rPr>
          <w:rFonts w:ascii="Times New Roman" w:hAnsi="Times New Roman"/>
          <w:sz w:val="24"/>
          <w:szCs w:val="24"/>
        </w:rPr>
        <w:tab/>
        <w:t xml:space="preserve">Agree </w:t>
      </w:r>
    </w:p>
    <w:p w:rsidR="00706F1A" w:rsidRDefault="00706F1A" w:rsidP="00706F1A">
      <w:pPr>
        <w:pStyle w:val="ListParagraph"/>
        <w:spacing w:after="0" w:line="360" w:lineRule="auto"/>
        <w:ind w:left="360"/>
        <w:rPr>
          <w:rFonts w:ascii="Times New Roman" w:hAnsi="Times New Roman"/>
          <w:sz w:val="24"/>
          <w:szCs w:val="24"/>
        </w:rPr>
      </w:pPr>
      <w:r w:rsidRPr="00F17CB9">
        <w:rPr>
          <w:rFonts w:ascii="Times New Roman" w:hAnsi="Times New Roman"/>
          <w:sz w:val="24"/>
          <w:szCs w:val="24"/>
        </w:rPr>
        <w:t>e)</w:t>
      </w:r>
      <w:r w:rsidRPr="00F17CB9">
        <w:rPr>
          <w:rFonts w:ascii="Times New Roman" w:hAnsi="Times New Roman"/>
          <w:sz w:val="24"/>
          <w:szCs w:val="24"/>
        </w:rPr>
        <w:tab/>
        <w:t>Strongly agree</w:t>
      </w:r>
      <w:r w:rsidRPr="00F17CB9">
        <w:rPr>
          <w:rFonts w:ascii="Times New Roman" w:hAnsi="Times New Roman"/>
          <w:sz w:val="24"/>
          <w:szCs w:val="24"/>
        </w:rPr>
        <w:tab/>
      </w:r>
    </w:p>
    <w:p w:rsidR="00706F1A" w:rsidRPr="009F3C76" w:rsidRDefault="00706F1A" w:rsidP="00706F1A">
      <w:pPr>
        <w:spacing w:line="360" w:lineRule="auto"/>
        <w:rPr>
          <w:rFonts w:ascii="Times New Roman" w:hAnsi="Times New Roman" w:cs="Times New Roman"/>
          <w:b/>
          <w:sz w:val="32"/>
          <w:szCs w:val="24"/>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706F1A" w:rsidRDefault="00706F1A" w:rsidP="005B4851">
      <w:pPr>
        <w:spacing w:line="360" w:lineRule="auto"/>
        <w:jc w:val="both"/>
        <w:rPr>
          <w:rFonts w:ascii="Times New Roman" w:hAnsi="Times New Roman" w:cs="Times New Roman"/>
          <w:b/>
          <w:sz w:val="32"/>
          <w:szCs w:val="32"/>
        </w:rPr>
      </w:pPr>
    </w:p>
    <w:p w:rsidR="00B34018" w:rsidRDefault="00B34018" w:rsidP="00C74B80">
      <w:pPr>
        <w:spacing w:line="360" w:lineRule="auto"/>
        <w:ind w:left="360"/>
        <w:jc w:val="both"/>
        <w:rPr>
          <w:rFonts w:ascii="Times New Roman" w:hAnsi="Times New Roman" w:cs="Times New Roman"/>
          <w:b/>
          <w:sz w:val="32"/>
          <w:szCs w:val="32"/>
        </w:rPr>
      </w:pPr>
    </w:p>
    <w:p w:rsidR="00B34018" w:rsidRDefault="00B34018" w:rsidP="00C74B80">
      <w:pPr>
        <w:spacing w:line="360" w:lineRule="auto"/>
        <w:ind w:left="360"/>
        <w:jc w:val="both"/>
        <w:rPr>
          <w:rFonts w:ascii="Times New Roman" w:hAnsi="Times New Roman" w:cs="Times New Roman"/>
          <w:b/>
          <w:sz w:val="32"/>
          <w:szCs w:val="32"/>
        </w:rPr>
      </w:pPr>
    </w:p>
    <w:p w:rsidR="00403CC1" w:rsidRPr="009F3C76" w:rsidRDefault="00403CC1" w:rsidP="00C74B80">
      <w:pPr>
        <w:spacing w:line="360" w:lineRule="auto"/>
        <w:rPr>
          <w:rFonts w:ascii="Times New Roman" w:hAnsi="Times New Roman" w:cs="Times New Roman"/>
          <w:b/>
          <w:sz w:val="32"/>
          <w:szCs w:val="24"/>
        </w:rPr>
      </w:pPr>
    </w:p>
    <w:sectPr w:rsidR="00403CC1" w:rsidRPr="009F3C76" w:rsidSect="00C74B80">
      <w:headerReference w:type="default" r:id="rId33"/>
      <w:footerReference w:type="default" r:id="rId34"/>
      <w:pgSz w:w="11906" w:h="16838" w:code="9"/>
      <w:pgMar w:top="1797" w:right="1797" w:bottom="1797" w:left="1797" w:header="107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B80" w:rsidRDefault="00C74B80" w:rsidP="003E65FC">
      <w:pPr>
        <w:spacing w:after="0" w:line="240" w:lineRule="auto"/>
      </w:pPr>
      <w:r>
        <w:separator/>
      </w:r>
    </w:p>
  </w:endnote>
  <w:endnote w:type="continuationSeparator" w:id="0">
    <w:p w:rsidR="00C74B80" w:rsidRDefault="00C74B80" w:rsidP="003E6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74811"/>
      <w:docPartObj>
        <w:docPartGallery w:val="Page Numbers (Bottom of Page)"/>
        <w:docPartUnique/>
      </w:docPartObj>
    </w:sdtPr>
    <w:sdtEndPr>
      <w:rPr>
        <w:noProof/>
      </w:rPr>
    </w:sdtEndPr>
    <w:sdtContent>
      <w:p w:rsidR="00C74B80" w:rsidRDefault="00C74B80">
        <w:pPr>
          <w:pStyle w:val="Footer"/>
          <w:jc w:val="center"/>
        </w:pPr>
        <w:r>
          <w:fldChar w:fldCharType="begin"/>
        </w:r>
        <w:r>
          <w:instrText xml:space="preserve"> PAGE   \* MERGEFORMAT </w:instrText>
        </w:r>
        <w:r>
          <w:fldChar w:fldCharType="separate"/>
        </w:r>
        <w:r w:rsidR="00706F1A">
          <w:rPr>
            <w:noProof/>
          </w:rPr>
          <w:t>55</w:t>
        </w:r>
        <w:r>
          <w:rPr>
            <w:noProof/>
          </w:rPr>
          <w:fldChar w:fldCharType="end"/>
        </w:r>
      </w:p>
    </w:sdtContent>
  </w:sdt>
  <w:p w:rsidR="00C74B80" w:rsidRDefault="00C74B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B80" w:rsidRDefault="00C74B80" w:rsidP="003E65FC">
      <w:pPr>
        <w:spacing w:after="0" w:line="240" w:lineRule="auto"/>
      </w:pPr>
      <w:r>
        <w:separator/>
      </w:r>
    </w:p>
  </w:footnote>
  <w:footnote w:type="continuationSeparator" w:id="0">
    <w:p w:rsidR="00C74B80" w:rsidRDefault="00C74B80" w:rsidP="003E65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B80" w:rsidRPr="00E32A66" w:rsidRDefault="00C74B80" w:rsidP="00E32A66">
    <w:pPr>
      <w:pStyle w:val="Header"/>
      <w:spacing w:line="360" w:lineRule="auto"/>
      <w:jc w:val="both"/>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068"/>
    <w:multiLevelType w:val="multilevel"/>
    <w:tmpl w:val="F1FA89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2B028C"/>
    <w:multiLevelType w:val="multilevel"/>
    <w:tmpl w:val="6832CFBE"/>
    <w:lvl w:ilvl="0">
      <w:start w:val="1"/>
      <w:numFmt w:val="bullet"/>
      <w:lvlText w:val=""/>
      <w:lvlJc w:val="left"/>
      <w:pPr>
        <w:ind w:left="3120" w:hanging="360"/>
      </w:pPr>
      <w:rPr>
        <w:rFonts w:ascii="Symbol" w:hAnsi="Symbol" w:hint="default"/>
      </w:rPr>
    </w:lvl>
    <w:lvl w:ilvl="1">
      <w:start w:val="1"/>
      <w:numFmt w:val="decimal"/>
      <w:lvlText w:val="%2."/>
      <w:lvlJc w:val="left"/>
      <w:pPr>
        <w:ind w:left="360" w:hanging="360"/>
      </w:pPr>
      <w:rPr>
        <w:rFonts w:hint="default"/>
      </w:rPr>
    </w:lvl>
    <w:lvl w:ilvl="2" w:tentative="1">
      <w:start w:val="1"/>
      <w:numFmt w:val="bullet"/>
      <w:lvlText w:val=""/>
      <w:lvlJc w:val="left"/>
      <w:pPr>
        <w:ind w:left="4560" w:hanging="360"/>
      </w:pPr>
      <w:rPr>
        <w:rFonts w:ascii="Wingdings" w:hAnsi="Wingdings" w:hint="default"/>
      </w:rPr>
    </w:lvl>
    <w:lvl w:ilvl="3" w:tentative="1">
      <w:start w:val="1"/>
      <w:numFmt w:val="bullet"/>
      <w:lvlText w:val=""/>
      <w:lvlJc w:val="left"/>
      <w:pPr>
        <w:ind w:left="5280" w:hanging="360"/>
      </w:pPr>
      <w:rPr>
        <w:rFonts w:ascii="Symbol" w:hAnsi="Symbol" w:hint="default"/>
      </w:rPr>
    </w:lvl>
    <w:lvl w:ilvl="4" w:tentative="1">
      <w:start w:val="1"/>
      <w:numFmt w:val="bullet"/>
      <w:lvlText w:val="o"/>
      <w:lvlJc w:val="left"/>
      <w:pPr>
        <w:ind w:left="6000" w:hanging="360"/>
      </w:pPr>
      <w:rPr>
        <w:rFonts w:ascii="Courier New" w:hAnsi="Courier New" w:cs="Courier New" w:hint="default"/>
      </w:rPr>
    </w:lvl>
    <w:lvl w:ilvl="5" w:tentative="1">
      <w:start w:val="1"/>
      <w:numFmt w:val="bullet"/>
      <w:lvlText w:val=""/>
      <w:lvlJc w:val="left"/>
      <w:pPr>
        <w:ind w:left="6720" w:hanging="360"/>
      </w:pPr>
      <w:rPr>
        <w:rFonts w:ascii="Wingdings" w:hAnsi="Wingdings" w:hint="default"/>
      </w:rPr>
    </w:lvl>
    <w:lvl w:ilvl="6" w:tentative="1">
      <w:start w:val="1"/>
      <w:numFmt w:val="bullet"/>
      <w:lvlText w:val=""/>
      <w:lvlJc w:val="left"/>
      <w:pPr>
        <w:ind w:left="7440" w:hanging="360"/>
      </w:pPr>
      <w:rPr>
        <w:rFonts w:ascii="Symbol" w:hAnsi="Symbol" w:hint="default"/>
      </w:rPr>
    </w:lvl>
    <w:lvl w:ilvl="7" w:tentative="1">
      <w:start w:val="1"/>
      <w:numFmt w:val="bullet"/>
      <w:lvlText w:val="o"/>
      <w:lvlJc w:val="left"/>
      <w:pPr>
        <w:ind w:left="8160" w:hanging="360"/>
      </w:pPr>
      <w:rPr>
        <w:rFonts w:ascii="Courier New" w:hAnsi="Courier New" w:cs="Courier New" w:hint="default"/>
      </w:rPr>
    </w:lvl>
    <w:lvl w:ilvl="8" w:tentative="1">
      <w:start w:val="1"/>
      <w:numFmt w:val="bullet"/>
      <w:lvlText w:val=""/>
      <w:lvlJc w:val="left"/>
      <w:pPr>
        <w:ind w:left="8880" w:hanging="360"/>
      </w:pPr>
      <w:rPr>
        <w:rFonts w:ascii="Wingdings" w:hAnsi="Wingdings" w:hint="default"/>
      </w:rPr>
    </w:lvl>
  </w:abstractNum>
  <w:abstractNum w:abstractNumId="2" w15:restartNumberingAfterBreak="0">
    <w:nsid w:val="44D14D35"/>
    <w:multiLevelType w:val="hybridMultilevel"/>
    <w:tmpl w:val="5A7C999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9840CBA"/>
    <w:multiLevelType w:val="hybridMultilevel"/>
    <w:tmpl w:val="F0045C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DA330E8"/>
    <w:multiLevelType w:val="multilevel"/>
    <w:tmpl w:val="C450B5F2"/>
    <w:lvl w:ilvl="0">
      <w:start w:val="1"/>
      <w:numFmt w:val="lowerLetter"/>
      <w:lvlText w:val="%1)"/>
      <w:lvlJc w:val="left"/>
      <w:pPr>
        <w:ind w:left="3120" w:hanging="360"/>
      </w:pPr>
      <w:rPr>
        <w:rFonts w:hint="default"/>
      </w:rPr>
    </w:lvl>
    <w:lvl w:ilvl="1">
      <w:start w:val="1"/>
      <w:numFmt w:val="decimal"/>
      <w:lvlText w:val="%2."/>
      <w:lvlJc w:val="left"/>
      <w:pPr>
        <w:ind w:left="360" w:hanging="360"/>
      </w:pPr>
      <w:rPr>
        <w:rFonts w:hint="default"/>
      </w:rPr>
    </w:lvl>
    <w:lvl w:ilvl="2" w:tentative="1">
      <w:start w:val="1"/>
      <w:numFmt w:val="bullet"/>
      <w:lvlText w:val=""/>
      <w:lvlJc w:val="left"/>
      <w:pPr>
        <w:ind w:left="4560" w:hanging="360"/>
      </w:pPr>
      <w:rPr>
        <w:rFonts w:ascii="Wingdings" w:hAnsi="Wingdings" w:hint="default"/>
      </w:rPr>
    </w:lvl>
    <w:lvl w:ilvl="3" w:tentative="1">
      <w:start w:val="1"/>
      <w:numFmt w:val="bullet"/>
      <w:lvlText w:val=""/>
      <w:lvlJc w:val="left"/>
      <w:pPr>
        <w:ind w:left="5280" w:hanging="360"/>
      </w:pPr>
      <w:rPr>
        <w:rFonts w:ascii="Symbol" w:hAnsi="Symbol" w:hint="default"/>
      </w:rPr>
    </w:lvl>
    <w:lvl w:ilvl="4" w:tentative="1">
      <w:start w:val="1"/>
      <w:numFmt w:val="bullet"/>
      <w:lvlText w:val="o"/>
      <w:lvlJc w:val="left"/>
      <w:pPr>
        <w:ind w:left="6000" w:hanging="360"/>
      </w:pPr>
      <w:rPr>
        <w:rFonts w:ascii="Courier New" w:hAnsi="Courier New" w:cs="Courier New" w:hint="default"/>
      </w:rPr>
    </w:lvl>
    <w:lvl w:ilvl="5" w:tentative="1">
      <w:start w:val="1"/>
      <w:numFmt w:val="bullet"/>
      <w:lvlText w:val=""/>
      <w:lvlJc w:val="left"/>
      <w:pPr>
        <w:ind w:left="6720" w:hanging="360"/>
      </w:pPr>
      <w:rPr>
        <w:rFonts w:ascii="Wingdings" w:hAnsi="Wingdings" w:hint="default"/>
      </w:rPr>
    </w:lvl>
    <w:lvl w:ilvl="6" w:tentative="1">
      <w:start w:val="1"/>
      <w:numFmt w:val="bullet"/>
      <w:lvlText w:val=""/>
      <w:lvlJc w:val="left"/>
      <w:pPr>
        <w:ind w:left="7440" w:hanging="360"/>
      </w:pPr>
      <w:rPr>
        <w:rFonts w:ascii="Symbol" w:hAnsi="Symbol" w:hint="default"/>
      </w:rPr>
    </w:lvl>
    <w:lvl w:ilvl="7" w:tentative="1">
      <w:start w:val="1"/>
      <w:numFmt w:val="bullet"/>
      <w:lvlText w:val="o"/>
      <w:lvlJc w:val="left"/>
      <w:pPr>
        <w:ind w:left="8160" w:hanging="360"/>
      </w:pPr>
      <w:rPr>
        <w:rFonts w:ascii="Courier New" w:hAnsi="Courier New" w:cs="Courier New" w:hint="default"/>
      </w:rPr>
    </w:lvl>
    <w:lvl w:ilvl="8" w:tentative="1">
      <w:start w:val="1"/>
      <w:numFmt w:val="bullet"/>
      <w:lvlText w:val=""/>
      <w:lvlJc w:val="left"/>
      <w:pPr>
        <w:ind w:left="8880" w:hanging="360"/>
      </w:pPr>
      <w:rPr>
        <w:rFonts w:ascii="Wingdings" w:hAnsi="Wingdings" w:hint="default"/>
      </w:rPr>
    </w:lvl>
  </w:abstractNum>
  <w:abstractNum w:abstractNumId="5" w15:restartNumberingAfterBreak="0">
    <w:nsid w:val="65675CEA"/>
    <w:multiLevelType w:val="hybridMultilevel"/>
    <w:tmpl w:val="7D94F504"/>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7561AAA"/>
    <w:multiLevelType w:val="hybridMultilevel"/>
    <w:tmpl w:val="A4B682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7F8693A"/>
    <w:multiLevelType w:val="hybridMultilevel"/>
    <w:tmpl w:val="50FE75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4F06333"/>
    <w:multiLevelType w:val="hybridMultilevel"/>
    <w:tmpl w:val="D842FB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BBB78CC"/>
    <w:multiLevelType w:val="multilevel"/>
    <w:tmpl w:val="D66C892A"/>
    <w:lvl w:ilvl="0">
      <w:numFmt w:val="bullet"/>
      <w:lvlText w:val="•"/>
      <w:lvlJc w:val="left"/>
      <w:pPr>
        <w:ind w:left="540" w:hanging="540"/>
      </w:pPr>
      <w:rPr>
        <w:rFonts w:ascii="Times New Roman" w:eastAsia="Calibri" w:hAnsi="Times New Roman" w:cs="Times New Roman"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8"/>
  </w:num>
  <w:num w:numId="4">
    <w:abstractNumId w:val="3"/>
  </w:num>
  <w:num w:numId="5">
    <w:abstractNumId w:val="0"/>
  </w:num>
  <w:num w:numId="6">
    <w:abstractNumId w:val="9"/>
  </w:num>
  <w:num w:numId="7">
    <w:abstractNumId w:val="1"/>
  </w:num>
  <w:num w:numId="8">
    <w:abstractNumId w:val="2"/>
  </w:num>
  <w:num w:numId="9">
    <w:abstractNumId w:val="4"/>
  </w:num>
  <w:num w:numId="1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bordersDoNotSurroundHeader/>
  <w:bordersDoNotSurroundFooter/>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5FC"/>
    <w:rsid w:val="0000152D"/>
    <w:rsid w:val="00011067"/>
    <w:rsid w:val="00026D19"/>
    <w:rsid w:val="00034AD6"/>
    <w:rsid w:val="000500F9"/>
    <w:rsid w:val="0008502B"/>
    <w:rsid w:val="000A5057"/>
    <w:rsid w:val="000C2891"/>
    <w:rsid w:val="000C31D8"/>
    <w:rsid w:val="000C5576"/>
    <w:rsid w:val="000D5451"/>
    <w:rsid w:val="000D5BD3"/>
    <w:rsid w:val="000D6373"/>
    <w:rsid w:val="000E2C22"/>
    <w:rsid w:val="0010011D"/>
    <w:rsid w:val="0011367A"/>
    <w:rsid w:val="00114687"/>
    <w:rsid w:val="0012086A"/>
    <w:rsid w:val="00122A9E"/>
    <w:rsid w:val="00124FFE"/>
    <w:rsid w:val="0013334D"/>
    <w:rsid w:val="00134410"/>
    <w:rsid w:val="001B754A"/>
    <w:rsid w:val="001C41AD"/>
    <w:rsid w:val="001D69D3"/>
    <w:rsid w:val="001F2CA2"/>
    <w:rsid w:val="001F3C88"/>
    <w:rsid w:val="0022040C"/>
    <w:rsid w:val="002631E1"/>
    <w:rsid w:val="002672B8"/>
    <w:rsid w:val="00280881"/>
    <w:rsid w:val="002A6778"/>
    <w:rsid w:val="002B4FD0"/>
    <w:rsid w:val="002B676B"/>
    <w:rsid w:val="002C3ED4"/>
    <w:rsid w:val="002C7D08"/>
    <w:rsid w:val="002D1859"/>
    <w:rsid w:val="002E0779"/>
    <w:rsid w:val="002F100F"/>
    <w:rsid w:val="002F5016"/>
    <w:rsid w:val="00300B31"/>
    <w:rsid w:val="00304B5A"/>
    <w:rsid w:val="00322F62"/>
    <w:rsid w:val="00335F0D"/>
    <w:rsid w:val="00347DB8"/>
    <w:rsid w:val="003A5B15"/>
    <w:rsid w:val="003B200E"/>
    <w:rsid w:val="003D6020"/>
    <w:rsid w:val="003E65FC"/>
    <w:rsid w:val="00403CC1"/>
    <w:rsid w:val="00416745"/>
    <w:rsid w:val="0041741C"/>
    <w:rsid w:val="00421882"/>
    <w:rsid w:val="004239E0"/>
    <w:rsid w:val="0044352A"/>
    <w:rsid w:val="004612D8"/>
    <w:rsid w:val="00461937"/>
    <w:rsid w:val="004646BE"/>
    <w:rsid w:val="004701B5"/>
    <w:rsid w:val="00485E0B"/>
    <w:rsid w:val="00496207"/>
    <w:rsid w:val="004A0D8A"/>
    <w:rsid w:val="004C095E"/>
    <w:rsid w:val="004D007A"/>
    <w:rsid w:val="004E08E4"/>
    <w:rsid w:val="004E38F4"/>
    <w:rsid w:val="004E6985"/>
    <w:rsid w:val="004E74BE"/>
    <w:rsid w:val="004F5373"/>
    <w:rsid w:val="0054028E"/>
    <w:rsid w:val="00547A16"/>
    <w:rsid w:val="005523A5"/>
    <w:rsid w:val="005713C4"/>
    <w:rsid w:val="00596881"/>
    <w:rsid w:val="005A4789"/>
    <w:rsid w:val="005B2E23"/>
    <w:rsid w:val="005B4851"/>
    <w:rsid w:val="005D04CF"/>
    <w:rsid w:val="005D5BA6"/>
    <w:rsid w:val="005E40A8"/>
    <w:rsid w:val="005F0B31"/>
    <w:rsid w:val="00603DB8"/>
    <w:rsid w:val="006213E6"/>
    <w:rsid w:val="00626339"/>
    <w:rsid w:val="00631455"/>
    <w:rsid w:val="00647673"/>
    <w:rsid w:val="00651C15"/>
    <w:rsid w:val="00654C84"/>
    <w:rsid w:val="0066094C"/>
    <w:rsid w:val="00661395"/>
    <w:rsid w:val="006655B9"/>
    <w:rsid w:val="00672FD3"/>
    <w:rsid w:val="00681BAC"/>
    <w:rsid w:val="006901CC"/>
    <w:rsid w:val="006B0FB5"/>
    <w:rsid w:val="006D4AC4"/>
    <w:rsid w:val="006F4729"/>
    <w:rsid w:val="00706F1A"/>
    <w:rsid w:val="00741C20"/>
    <w:rsid w:val="00791ED2"/>
    <w:rsid w:val="007D0FA4"/>
    <w:rsid w:val="007D5AB1"/>
    <w:rsid w:val="007E7599"/>
    <w:rsid w:val="008073D5"/>
    <w:rsid w:val="0081128C"/>
    <w:rsid w:val="008178AB"/>
    <w:rsid w:val="00817D8D"/>
    <w:rsid w:val="008314FD"/>
    <w:rsid w:val="008443A9"/>
    <w:rsid w:val="00854B84"/>
    <w:rsid w:val="00872CD4"/>
    <w:rsid w:val="00874186"/>
    <w:rsid w:val="00875271"/>
    <w:rsid w:val="00896AC3"/>
    <w:rsid w:val="008A587D"/>
    <w:rsid w:val="008C0F16"/>
    <w:rsid w:val="008D41A2"/>
    <w:rsid w:val="008E7AE0"/>
    <w:rsid w:val="008F3711"/>
    <w:rsid w:val="008F6633"/>
    <w:rsid w:val="009156CB"/>
    <w:rsid w:val="009213B7"/>
    <w:rsid w:val="00926676"/>
    <w:rsid w:val="009309F5"/>
    <w:rsid w:val="00953D6A"/>
    <w:rsid w:val="00974D15"/>
    <w:rsid w:val="009A44B5"/>
    <w:rsid w:val="009A660C"/>
    <w:rsid w:val="009B3BAE"/>
    <w:rsid w:val="009C2273"/>
    <w:rsid w:val="009E4581"/>
    <w:rsid w:val="009F3C76"/>
    <w:rsid w:val="00A03141"/>
    <w:rsid w:val="00A05F74"/>
    <w:rsid w:val="00A42F94"/>
    <w:rsid w:val="00A453D9"/>
    <w:rsid w:val="00A52044"/>
    <w:rsid w:val="00A67C59"/>
    <w:rsid w:val="00AA620F"/>
    <w:rsid w:val="00AC28FA"/>
    <w:rsid w:val="00AD1DB2"/>
    <w:rsid w:val="00AD506F"/>
    <w:rsid w:val="00AE4DDB"/>
    <w:rsid w:val="00AE5ACB"/>
    <w:rsid w:val="00AF054C"/>
    <w:rsid w:val="00AF1FCC"/>
    <w:rsid w:val="00AF7AB4"/>
    <w:rsid w:val="00AF7DF9"/>
    <w:rsid w:val="00B06791"/>
    <w:rsid w:val="00B16BB7"/>
    <w:rsid w:val="00B16D6B"/>
    <w:rsid w:val="00B33406"/>
    <w:rsid w:val="00B34018"/>
    <w:rsid w:val="00B8280C"/>
    <w:rsid w:val="00BB036C"/>
    <w:rsid w:val="00BB2CF3"/>
    <w:rsid w:val="00BC1718"/>
    <w:rsid w:val="00BC3531"/>
    <w:rsid w:val="00BE3B2D"/>
    <w:rsid w:val="00BF08A4"/>
    <w:rsid w:val="00BF2D96"/>
    <w:rsid w:val="00BF4EC5"/>
    <w:rsid w:val="00C25FC2"/>
    <w:rsid w:val="00C31D3E"/>
    <w:rsid w:val="00C74B80"/>
    <w:rsid w:val="00C83348"/>
    <w:rsid w:val="00C856E6"/>
    <w:rsid w:val="00CB4156"/>
    <w:rsid w:val="00CD59C8"/>
    <w:rsid w:val="00CD6E5C"/>
    <w:rsid w:val="00CE2AF9"/>
    <w:rsid w:val="00CE36CD"/>
    <w:rsid w:val="00CF208D"/>
    <w:rsid w:val="00D25E79"/>
    <w:rsid w:val="00D31513"/>
    <w:rsid w:val="00D32723"/>
    <w:rsid w:val="00D33908"/>
    <w:rsid w:val="00D45A82"/>
    <w:rsid w:val="00D83068"/>
    <w:rsid w:val="00D8633D"/>
    <w:rsid w:val="00D95CFE"/>
    <w:rsid w:val="00DC1768"/>
    <w:rsid w:val="00DD41F1"/>
    <w:rsid w:val="00DD4916"/>
    <w:rsid w:val="00DD4CCA"/>
    <w:rsid w:val="00DD4DFF"/>
    <w:rsid w:val="00DE55FD"/>
    <w:rsid w:val="00E00119"/>
    <w:rsid w:val="00E02625"/>
    <w:rsid w:val="00E32A66"/>
    <w:rsid w:val="00E37961"/>
    <w:rsid w:val="00E95E51"/>
    <w:rsid w:val="00EA2A3A"/>
    <w:rsid w:val="00EA30C1"/>
    <w:rsid w:val="00EA5B6B"/>
    <w:rsid w:val="00EA782B"/>
    <w:rsid w:val="00EC66BE"/>
    <w:rsid w:val="00EE0095"/>
    <w:rsid w:val="00EE239E"/>
    <w:rsid w:val="00EE6CE7"/>
    <w:rsid w:val="00F00DB1"/>
    <w:rsid w:val="00F113C2"/>
    <w:rsid w:val="00F240C0"/>
    <w:rsid w:val="00F354C2"/>
    <w:rsid w:val="00F458A0"/>
    <w:rsid w:val="00F470B4"/>
    <w:rsid w:val="00F52662"/>
    <w:rsid w:val="00F553FB"/>
    <w:rsid w:val="00F734DA"/>
    <w:rsid w:val="00F92336"/>
    <w:rsid w:val="00FA40D5"/>
    <w:rsid w:val="00FB0C5F"/>
    <w:rsid w:val="00FE4BFC"/>
    <w:rsid w:val="00FF67A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D3461495-98AF-4537-9297-2443A1FC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3C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E65FC"/>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EA2A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8E7AE0"/>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next w:val="Normal"/>
    <w:link w:val="Heading5Char"/>
    <w:uiPriority w:val="9"/>
    <w:unhideWhenUsed/>
    <w:qFormat/>
    <w:rsid w:val="008E7AE0"/>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unhideWhenUsed/>
    <w:qFormat/>
    <w:rsid w:val="008E7AE0"/>
    <w:pPr>
      <w:keepNext/>
      <w:keepLines/>
      <w:spacing w:before="200" w:after="0"/>
      <w:outlineLvl w:val="5"/>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head,Ril BOdy,phoenix"/>
    <w:basedOn w:val="Normal"/>
    <w:link w:val="ListParagraphChar"/>
    <w:uiPriority w:val="34"/>
    <w:qFormat/>
    <w:rsid w:val="003E65FC"/>
    <w:pPr>
      <w:ind w:left="720"/>
      <w:contextualSpacing/>
    </w:pPr>
  </w:style>
  <w:style w:type="paragraph" w:styleId="Header">
    <w:name w:val="header"/>
    <w:basedOn w:val="Normal"/>
    <w:link w:val="HeaderChar"/>
    <w:uiPriority w:val="99"/>
    <w:unhideWhenUsed/>
    <w:rsid w:val="003E6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5FC"/>
  </w:style>
  <w:style w:type="paragraph" w:styleId="Footer">
    <w:name w:val="footer"/>
    <w:basedOn w:val="Normal"/>
    <w:link w:val="FooterChar"/>
    <w:uiPriority w:val="99"/>
    <w:unhideWhenUsed/>
    <w:rsid w:val="003E6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5FC"/>
  </w:style>
  <w:style w:type="character" w:customStyle="1" w:styleId="Heading2Char">
    <w:name w:val="Heading 2 Char"/>
    <w:basedOn w:val="DefaultParagraphFont"/>
    <w:link w:val="Heading2"/>
    <w:uiPriority w:val="9"/>
    <w:rsid w:val="003E65FC"/>
    <w:rPr>
      <w:rFonts w:ascii="Times New Roman" w:eastAsia="Times New Roman" w:hAnsi="Times New Roman" w:cs="Times New Roman"/>
      <w:b/>
      <w:bCs/>
      <w:sz w:val="36"/>
      <w:szCs w:val="36"/>
      <w:lang w:eastAsia="en-IN"/>
    </w:rPr>
  </w:style>
  <w:style w:type="paragraph" w:styleId="NormalWeb">
    <w:name w:val="Normal (Web)"/>
    <w:basedOn w:val="Normal"/>
    <w:link w:val="NormalWebChar"/>
    <w:uiPriority w:val="99"/>
    <w:unhideWhenUsed/>
    <w:rsid w:val="003E65F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2F5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5016"/>
    <w:pPr>
      <w:autoSpaceDE w:val="0"/>
      <w:autoSpaceDN w:val="0"/>
      <w:adjustRightInd w:val="0"/>
      <w:spacing w:after="0" w:line="240" w:lineRule="auto"/>
    </w:pPr>
    <w:rPr>
      <w:rFonts w:ascii="Times New Roman" w:hAnsi="Times New Roman" w:cs="Times New Roman"/>
      <w:color w:val="000000"/>
      <w:sz w:val="24"/>
      <w:szCs w:val="24"/>
      <w:lang w:val="en-US" w:bidi="ml-IN"/>
    </w:rPr>
  </w:style>
  <w:style w:type="character" w:customStyle="1" w:styleId="Heading1Char">
    <w:name w:val="Heading 1 Char"/>
    <w:basedOn w:val="DefaultParagraphFont"/>
    <w:link w:val="Heading1"/>
    <w:uiPriority w:val="9"/>
    <w:rsid w:val="009F3C76"/>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unhideWhenUsed/>
    <w:qFormat/>
    <w:rsid w:val="009F3C76"/>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F3C76"/>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14687"/>
    <w:rPr>
      <w:color w:val="0000FF" w:themeColor="hyperlink"/>
      <w:u w:val="single"/>
    </w:rPr>
  </w:style>
  <w:style w:type="paragraph" w:styleId="NoSpacing">
    <w:name w:val="No Spacing"/>
    <w:uiPriority w:val="1"/>
    <w:qFormat/>
    <w:rsid w:val="00AF1FCC"/>
    <w:pPr>
      <w:spacing w:after="0" w:line="240" w:lineRule="auto"/>
    </w:pPr>
    <w:rPr>
      <w:lang w:val="en-US"/>
    </w:rPr>
  </w:style>
  <w:style w:type="character" w:customStyle="1" w:styleId="Heading3Char">
    <w:name w:val="Heading 3 Char"/>
    <w:basedOn w:val="DefaultParagraphFont"/>
    <w:link w:val="Heading3"/>
    <w:uiPriority w:val="9"/>
    <w:rsid w:val="00EA2A3A"/>
    <w:rPr>
      <w:rFonts w:asciiTheme="majorHAnsi" w:eastAsiaTheme="majorEastAsia" w:hAnsiTheme="majorHAnsi" w:cstheme="majorBidi"/>
      <w:color w:val="243F60" w:themeColor="accent1" w:themeShade="7F"/>
      <w:sz w:val="24"/>
      <w:szCs w:val="24"/>
    </w:rPr>
  </w:style>
  <w:style w:type="character" w:customStyle="1" w:styleId="NormalWebChar">
    <w:name w:val="Normal (Web) Char"/>
    <w:basedOn w:val="DefaultParagraphFont"/>
    <w:link w:val="NormalWeb"/>
    <w:uiPriority w:val="99"/>
    <w:rsid w:val="00EA2A3A"/>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A2A3A"/>
    <w:rPr>
      <w:b/>
      <w:bCs/>
    </w:rPr>
  </w:style>
  <w:style w:type="character" w:customStyle="1" w:styleId="overflow-hidden">
    <w:name w:val="overflow-hidden"/>
    <w:basedOn w:val="DefaultParagraphFont"/>
    <w:rsid w:val="00C83348"/>
  </w:style>
  <w:style w:type="character" w:customStyle="1" w:styleId="Heading4Char">
    <w:name w:val="Heading 4 Char"/>
    <w:basedOn w:val="DefaultParagraphFont"/>
    <w:link w:val="Heading4"/>
    <w:uiPriority w:val="9"/>
    <w:rsid w:val="008E7AE0"/>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rsid w:val="008E7AE0"/>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rsid w:val="008E7AE0"/>
    <w:rPr>
      <w:rFonts w:asciiTheme="majorHAnsi" w:eastAsiaTheme="majorEastAsia" w:hAnsiTheme="majorHAnsi" w:cstheme="majorBidi"/>
      <w:i/>
      <w:iCs/>
      <w:color w:val="243F60" w:themeColor="accent1" w:themeShade="7F"/>
      <w:lang w:val="en-US"/>
    </w:rPr>
  </w:style>
  <w:style w:type="paragraph" w:customStyle="1" w:styleId="ListParagraph1">
    <w:name w:val="List Paragraph1"/>
    <w:basedOn w:val="Normal"/>
    <w:uiPriority w:val="34"/>
    <w:qFormat/>
    <w:rsid w:val="008E7AE0"/>
    <w:pPr>
      <w:ind w:left="720"/>
      <w:contextualSpacing/>
    </w:pPr>
    <w:rPr>
      <w:rFonts w:ascii="Calibri" w:eastAsia="Calibri" w:hAnsi="Calibri" w:cs="Times New Roman"/>
      <w:lang w:val="en-US"/>
    </w:rPr>
  </w:style>
  <w:style w:type="character" w:customStyle="1" w:styleId="l828063tub0">
    <w:name w:val="l828063tub0"/>
    <w:basedOn w:val="DefaultParagraphFont"/>
    <w:uiPriority w:val="99"/>
    <w:rsid w:val="008E7AE0"/>
    <w:rPr>
      <w:rFonts w:cs="Times New Roman"/>
    </w:rPr>
  </w:style>
  <w:style w:type="paragraph" w:styleId="BalloonText">
    <w:name w:val="Balloon Text"/>
    <w:basedOn w:val="Normal"/>
    <w:link w:val="BalloonTextChar"/>
    <w:uiPriority w:val="99"/>
    <w:semiHidden/>
    <w:unhideWhenUsed/>
    <w:rsid w:val="008E7AE0"/>
    <w:pPr>
      <w:spacing w:after="0" w:line="240" w:lineRule="auto"/>
    </w:pPr>
    <w:rPr>
      <w:rFonts w:ascii="Tahoma" w:eastAsiaTheme="minorEastAsia" w:hAnsi="Tahoma" w:cs="Tahoma"/>
      <w:sz w:val="16"/>
      <w:szCs w:val="16"/>
      <w:lang w:eastAsia="en-IN"/>
    </w:rPr>
  </w:style>
  <w:style w:type="character" w:customStyle="1" w:styleId="BalloonTextChar">
    <w:name w:val="Balloon Text Char"/>
    <w:basedOn w:val="DefaultParagraphFont"/>
    <w:link w:val="BalloonText"/>
    <w:uiPriority w:val="99"/>
    <w:semiHidden/>
    <w:rsid w:val="008E7AE0"/>
    <w:rPr>
      <w:rFonts w:ascii="Tahoma" w:eastAsiaTheme="minorEastAsia" w:hAnsi="Tahoma" w:cs="Tahoma"/>
      <w:sz w:val="16"/>
      <w:szCs w:val="16"/>
      <w:lang w:eastAsia="en-IN"/>
    </w:rPr>
  </w:style>
  <w:style w:type="character" w:customStyle="1" w:styleId="ListParagraphChar">
    <w:name w:val="List Paragraph Char"/>
    <w:aliases w:val="paragraph head Char,Ril BOdy Char,phoenix Char"/>
    <w:basedOn w:val="DefaultParagraphFont"/>
    <w:link w:val="ListParagraph"/>
    <w:uiPriority w:val="34"/>
    <w:rsid w:val="008E7AE0"/>
  </w:style>
  <w:style w:type="character" w:customStyle="1" w:styleId="plheading">
    <w:name w:val="plheading"/>
    <w:basedOn w:val="DefaultParagraphFont"/>
    <w:rsid w:val="008E7AE0"/>
  </w:style>
  <w:style w:type="paragraph" w:customStyle="1" w:styleId="text-justify">
    <w:name w:val="text-justify"/>
    <w:basedOn w:val="Normal"/>
    <w:rsid w:val="008E7A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gkelc">
    <w:name w:val="hgkelc"/>
    <w:basedOn w:val="DefaultParagraphFont"/>
    <w:rsid w:val="008E7AE0"/>
  </w:style>
  <w:style w:type="paragraph" w:customStyle="1" w:styleId="bibliographyentry">
    <w:name w:val="bibliographyentry"/>
    <w:basedOn w:val="Normal"/>
    <w:rsid w:val="008E7A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
    <w:name w:val="italic"/>
    <w:basedOn w:val="DefaultParagraphFont"/>
    <w:rsid w:val="008E7AE0"/>
  </w:style>
  <w:style w:type="paragraph" w:styleId="Caption">
    <w:name w:val="caption"/>
    <w:basedOn w:val="Normal"/>
    <w:next w:val="Normal"/>
    <w:uiPriority w:val="35"/>
    <w:unhideWhenUsed/>
    <w:qFormat/>
    <w:rsid w:val="008E7AE0"/>
    <w:pPr>
      <w:spacing w:line="240" w:lineRule="auto"/>
    </w:pPr>
    <w:rPr>
      <w:i/>
      <w:iCs/>
      <w:color w:val="1F497D" w:themeColor="text2"/>
      <w:sz w:val="18"/>
      <w:szCs w:val="18"/>
      <w:lang w:val="en-US" w:bidi="ml-IN"/>
    </w:rPr>
  </w:style>
  <w:style w:type="character" w:styleId="SubtleEmphasis">
    <w:name w:val="Subtle Emphasis"/>
    <w:basedOn w:val="DefaultParagraphFont"/>
    <w:uiPriority w:val="19"/>
    <w:qFormat/>
    <w:rsid w:val="008E7AE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583710">
      <w:bodyDiv w:val="1"/>
      <w:marLeft w:val="0"/>
      <w:marRight w:val="0"/>
      <w:marTop w:val="0"/>
      <w:marBottom w:val="0"/>
      <w:divBdr>
        <w:top w:val="none" w:sz="0" w:space="0" w:color="auto"/>
        <w:left w:val="none" w:sz="0" w:space="0" w:color="auto"/>
        <w:bottom w:val="none" w:sz="0" w:space="0" w:color="auto"/>
        <w:right w:val="none" w:sz="0" w:space="0" w:color="auto"/>
      </w:divBdr>
    </w:div>
    <w:div w:id="658581144">
      <w:bodyDiv w:val="1"/>
      <w:marLeft w:val="0"/>
      <w:marRight w:val="0"/>
      <w:marTop w:val="0"/>
      <w:marBottom w:val="0"/>
      <w:divBdr>
        <w:top w:val="none" w:sz="0" w:space="0" w:color="auto"/>
        <w:left w:val="none" w:sz="0" w:space="0" w:color="auto"/>
        <w:bottom w:val="none" w:sz="0" w:space="0" w:color="auto"/>
        <w:right w:val="none" w:sz="0" w:space="0" w:color="auto"/>
      </w:divBdr>
    </w:div>
    <w:div w:id="938684564">
      <w:bodyDiv w:val="1"/>
      <w:marLeft w:val="0"/>
      <w:marRight w:val="0"/>
      <w:marTop w:val="0"/>
      <w:marBottom w:val="0"/>
      <w:divBdr>
        <w:top w:val="none" w:sz="0" w:space="0" w:color="auto"/>
        <w:left w:val="none" w:sz="0" w:space="0" w:color="auto"/>
        <w:bottom w:val="none" w:sz="0" w:space="0" w:color="auto"/>
        <w:right w:val="none" w:sz="0" w:space="0" w:color="auto"/>
      </w:divBdr>
      <w:divsChild>
        <w:div w:id="201719996">
          <w:marLeft w:val="0"/>
          <w:marRight w:val="0"/>
          <w:marTop w:val="0"/>
          <w:marBottom w:val="0"/>
          <w:divBdr>
            <w:top w:val="none" w:sz="0" w:space="0" w:color="auto"/>
            <w:left w:val="none" w:sz="0" w:space="0" w:color="auto"/>
            <w:bottom w:val="none" w:sz="0" w:space="0" w:color="auto"/>
            <w:right w:val="none" w:sz="0" w:space="0" w:color="auto"/>
          </w:divBdr>
          <w:divsChild>
            <w:div w:id="982999697">
              <w:marLeft w:val="0"/>
              <w:marRight w:val="0"/>
              <w:marTop w:val="0"/>
              <w:marBottom w:val="0"/>
              <w:divBdr>
                <w:top w:val="none" w:sz="0" w:space="0" w:color="auto"/>
                <w:left w:val="none" w:sz="0" w:space="0" w:color="auto"/>
                <w:bottom w:val="none" w:sz="0" w:space="0" w:color="auto"/>
                <w:right w:val="none" w:sz="0" w:space="0" w:color="auto"/>
              </w:divBdr>
              <w:divsChild>
                <w:div w:id="697849850">
                  <w:marLeft w:val="0"/>
                  <w:marRight w:val="0"/>
                  <w:marTop w:val="0"/>
                  <w:marBottom w:val="0"/>
                  <w:divBdr>
                    <w:top w:val="none" w:sz="0" w:space="0" w:color="auto"/>
                    <w:left w:val="none" w:sz="0" w:space="0" w:color="auto"/>
                    <w:bottom w:val="none" w:sz="0" w:space="0" w:color="auto"/>
                    <w:right w:val="none" w:sz="0" w:space="0" w:color="auto"/>
                  </w:divBdr>
                  <w:divsChild>
                    <w:div w:id="20641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8233">
          <w:marLeft w:val="0"/>
          <w:marRight w:val="0"/>
          <w:marTop w:val="0"/>
          <w:marBottom w:val="0"/>
          <w:divBdr>
            <w:top w:val="none" w:sz="0" w:space="0" w:color="auto"/>
            <w:left w:val="none" w:sz="0" w:space="0" w:color="auto"/>
            <w:bottom w:val="none" w:sz="0" w:space="0" w:color="auto"/>
            <w:right w:val="none" w:sz="0" w:space="0" w:color="auto"/>
          </w:divBdr>
          <w:divsChild>
            <w:div w:id="560097965">
              <w:marLeft w:val="0"/>
              <w:marRight w:val="0"/>
              <w:marTop w:val="0"/>
              <w:marBottom w:val="0"/>
              <w:divBdr>
                <w:top w:val="none" w:sz="0" w:space="0" w:color="auto"/>
                <w:left w:val="none" w:sz="0" w:space="0" w:color="auto"/>
                <w:bottom w:val="none" w:sz="0" w:space="0" w:color="auto"/>
                <w:right w:val="none" w:sz="0" w:space="0" w:color="auto"/>
              </w:divBdr>
              <w:divsChild>
                <w:div w:id="1331106975">
                  <w:marLeft w:val="0"/>
                  <w:marRight w:val="0"/>
                  <w:marTop w:val="0"/>
                  <w:marBottom w:val="0"/>
                  <w:divBdr>
                    <w:top w:val="none" w:sz="0" w:space="0" w:color="auto"/>
                    <w:left w:val="none" w:sz="0" w:space="0" w:color="auto"/>
                    <w:bottom w:val="none" w:sz="0" w:space="0" w:color="auto"/>
                    <w:right w:val="none" w:sz="0" w:space="0" w:color="auto"/>
                  </w:divBdr>
                  <w:divsChild>
                    <w:div w:id="814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83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arcgroup.com/electric-three-wheeler-market" TargetMode="External"/><Relationship Id="rId24" Type="http://schemas.openxmlformats.org/officeDocument/2006/relationships/chart" Target="charts/chart13.xml"/><Relationship Id="rId32" Type="http://schemas.openxmlformats.org/officeDocument/2006/relationships/hyperlink" Target="https://emobilityplus.com"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Sales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321-467E-8591-9A044D1F6A02}"/>
              </c:ext>
            </c:extLst>
          </c:dPt>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3321-467E-8591-9A044D1F6A02}"/>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3321-467E-8591-9A044D1F6A02}"/>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3321-467E-8591-9A044D1F6A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29</c:v>
                </c:pt>
                <c:pt idx="1">
                  <c:v>40</c:v>
                </c:pt>
                <c:pt idx="2">
                  <c:v>17</c:v>
                </c:pt>
                <c:pt idx="3">
                  <c:v>9</c:v>
                </c:pt>
                <c:pt idx="4">
                  <c:v>5</c:v>
                </c:pt>
              </c:numCache>
            </c:numRef>
          </c:val>
          <c:extLst xmlns:c16r2="http://schemas.microsoft.com/office/drawing/2015/06/chart">
            <c:ext xmlns:c16="http://schemas.microsoft.com/office/drawing/2014/chart" uri="{C3380CC4-5D6E-409C-BE32-E72D297353CC}">
              <c16:uniqueId val="{00000008-3321-467E-8591-9A044D1F6A02}"/>
            </c:ext>
          </c:extLst>
        </c:ser>
        <c:dLbls>
          <c:showLegendKey val="0"/>
          <c:showVal val="0"/>
          <c:showCatName val="0"/>
          <c:showSerName val="0"/>
          <c:showPercent val="0"/>
          <c:showBubbleSize val="0"/>
        </c:dLbls>
        <c:gapWidth val="100"/>
        <c:axId val="627106256"/>
        <c:axId val="627103904"/>
      </c:barChart>
      <c:catAx>
        <c:axId val="627106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103904"/>
        <c:crosses val="autoZero"/>
        <c:auto val="1"/>
        <c:lblAlgn val="ctr"/>
        <c:lblOffset val="100"/>
        <c:noMultiLvlLbl val="0"/>
      </c:catAx>
      <c:valAx>
        <c:axId val="62710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106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0B7-46F8-A090-F54C6E76A60A}"/>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0B7-46F8-A090-F54C6E76A60A}"/>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0B7-46F8-A090-F54C6E76A60A}"/>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0B7-46F8-A090-F54C6E76A6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7</c:v>
                </c:pt>
                <c:pt idx="1">
                  <c:v>3</c:v>
                </c:pt>
                <c:pt idx="2">
                  <c:v>10</c:v>
                </c:pt>
                <c:pt idx="3">
                  <c:v>50</c:v>
                </c:pt>
                <c:pt idx="4">
                  <c:v>30</c:v>
                </c:pt>
              </c:numCache>
            </c:numRef>
          </c:val>
          <c:extLst xmlns:c16r2="http://schemas.microsoft.com/office/drawing/2015/06/chart">
            <c:ext xmlns:c16="http://schemas.microsoft.com/office/drawing/2014/chart" uri="{C3380CC4-5D6E-409C-BE32-E72D297353CC}">
              <c16:uniqueId val="{00000008-30B7-46F8-A090-F54C6E76A60A}"/>
            </c:ext>
          </c:extLst>
        </c:ser>
        <c:dLbls>
          <c:showLegendKey val="0"/>
          <c:showVal val="0"/>
          <c:showCatName val="0"/>
          <c:showSerName val="0"/>
          <c:showPercent val="0"/>
          <c:showBubbleSize val="0"/>
        </c:dLbls>
        <c:gapWidth val="100"/>
        <c:shape val="box"/>
        <c:axId val="572226736"/>
        <c:axId val="572229088"/>
        <c:axId val="0"/>
      </c:bar3DChart>
      <c:catAx>
        <c:axId val="572226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29088"/>
        <c:crosses val="autoZero"/>
        <c:auto val="1"/>
        <c:lblAlgn val="ctr"/>
        <c:lblOffset val="100"/>
        <c:noMultiLvlLbl val="0"/>
      </c:catAx>
      <c:valAx>
        <c:axId val="57222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267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CD1-42A5-84AD-0CC4E74E82C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CD1-42A5-84AD-0CC4E74E82C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CD1-42A5-84AD-0CC4E74E82C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CD1-42A5-84AD-0CC4E74E82C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CD1-42A5-84AD-0CC4E74E82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4</c:v>
                </c:pt>
                <c:pt idx="1">
                  <c:v>6</c:v>
                </c:pt>
                <c:pt idx="2">
                  <c:v>20</c:v>
                </c:pt>
                <c:pt idx="3">
                  <c:v>34</c:v>
                </c:pt>
                <c:pt idx="4">
                  <c:v>36</c:v>
                </c:pt>
              </c:numCache>
            </c:numRef>
          </c:val>
          <c:extLst xmlns:c16r2="http://schemas.microsoft.com/office/drawing/2015/06/chart">
            <c:ext xmlns:c16="http://schemas.microsoft.com/office/drawing/2014/chart" uri="{C3380CC4-5D6E-409C-BE32-E72D297353CC}">
              <c16:uniqueId val="{0000000A-6CD1-42A5-84AD-0CC4E74E82C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2</c:v>
                </c:pt>
                <c:pt idx="1">
                  <c:v>2</c:v>
                </c:pt>
                <c:pt idx="2">
                  <c:v>10</c:v>
                </c:pt>
                <c:pt idx="3">
                  <c:v>30</c:v>
                </c:pt>
                <c:pt idx="4">
                  <c:v>56</c:v>
                </c:pt>
              </c:numCache>
            </c:numRef>
          </c:val>
          <c:extLst xmlns:c16r2="http://schemas.microsoft.com/office/drawing/2015/06/chart">
            <c:ext xmlns:c16="http://schemas.microsoft.com/office/drawing/2014/chart" uri="{C3380CC4-5D6E-409C-BE32-E72D297353CC}">
              <c16:uniqueId val="{00000000-7B3A-4268-9B7E-3462FA682D0B}"/>
            </c:ext>
          </c:extLst>
        </c:ser>
        <c:dLbls>
          <c:showLegendKey val="0"/>
          <c:showVal val="0"/>
          <c:showCatName val="0"/>
          <c:showSerName val="0"/>
          <c:showPercent val="0"/>
          <c:showBubbleSize val="0"/>
        </c:dLbls>
        <c:gapWidth val="150"/>
        <c:axId val="572230656"/>
        <c:axId val="572230264"/>
      </c:barChart>
      <c:catAx>
        <c:axId val="572230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30264"/>
        <c:crosses val="autoZero"/>
        <c:auto val="1"/>
        <c:lblAlgn val="ctr"/>
        <c:lblOffset val="100"/>
        <c:noMultiLvlLbl val="0"/>
      </c:catAx>
      <c:valAx>
        <c:axId val="572230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30656"/>
        <c:crosses val="autoZero"/>
        <c:crossBetween val="between"/>
      </c:valAx>
      <c:spPr>
        <a:noFill/>
        <a:ln>
          <a:noFill/>
        </a:ln>
        <a:effectLst/>
        <a:sp3d/>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13</c:v>
                </c:pt>
                <c:pt idx="1">
                  <c:v>10</c:v>
                </c:pt>
                <c:pt idx="2">
                  <c:v>20</c:v>
                </c:pt>
                <c:pt idx="3">
                  <c:v>50</c:v>
                </c:pt>
                <c:pt idx="4">
                  <c:v>7</c:v>
                </c:pt>
              </c:numCache>
            </c:numRef>
          </c:val>
          <c:extLst xmlns:c16r2="http://schemas.microsoft.com/office/drawing/2015/06/chart">
            <c:ext xmlns:c16="http://schemas.microsoft.com/office/drawing/2014/chart" uri="{C3380CC4-5D6E-409C-BE32-E72D297353CC}">
              <c16:uniqueId val="{00000000-0005-4B26-ADFF-70A643B1B50E}"/>
            </c:ext>
          </c:extLst>
        </c:ser>
        <c:dLbls>
          <c:showLegendKey val="0"/>
          <c:showVal val="1"/>
          <c:showCatName val="0"/>
          <c:showSerName val="0"/>
          <c:showPercent val="0"/>
          <c:showBubbleSize val="0"/>
        </c:dLbls>
        <c:gapWidth val="219"/>
        <c:overlap val="-27"/>
        <c:axId val="572233008"/>
        <c:axId val="572233400"/>
      </c:barChart>
      <c:catAx>
        <c:axId val="57223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33400"/>
        <c:crosses val="autoZero"/>
        <c:auto val="1"/>
        <c:lblAlgn val="ctr"/>
        <c:lblOffset val="100"/>
        <c:noMultiLvlLbl val="0"/>
      </c:catAx>
      <c:valAx>
        <c:axId val="572233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33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7</c:v>
                </c:pt>
                <c:pt idx="1">
                  <c:v>1</c:v>
                </c:pt>
                <c:pt idx="2">
                  <c:v>2</c:v>
                </c:pt>
                <c:pt idx="3">
                  <c:v>40</c:v>
                </c:pt>
                <c:pt idx="4">
                  <c:v>50</c:v>
                </c:pt>
              </c:numCache>
            </c:numRef>
          </c:val>
          <c:extLst xmlns:c16r2="http://schemas.microsoft.com/office/drawing/2015/06/chart">
            <c:ext xmlns:c16="http://schemas.microsoft.com/office/drawing/2014/chart" uri="{C3380CC4-5D6E-409C-BE32-E72D297353CC}">
              <c16:uniqueId val="{00000000-1C6E-4771-B947-DDEA49C3F7BA}"/>
            </c:ext>
          </c:extLst>
        </c:ser>
        <c:dLbls>
          <c:showLegendKey val="0"/>
          <c:showVal val="1"/>
          <c:showCatName val="0"/>
          <c:showSerName val="0"/>
          <c:showPercent val="0"/>
          <c:showBubbleSize val="0"/>
        </c:dLbls>
        <c:gapWidth val="219"/>
        <c:overlap val="-27"/>
        <c:axId val="427674496"/>
        <c:axId val="427674888"/>
      </c:barChart>
      <c:catAx>
        <c:axId val="42767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74888"/>
        <c:crosses val="autoZero"/>
        <c:auto val="1"/>
        <c:lblAlgn val="ctr"/>
        <c:lblOffset val="100"/>
        <c:noMultiLvlLbl val="0"/>
      </c:catAx>
      <c:valAx>
        <c:axId val="427674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74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0A-4281-A342-C2C9E93CD8AF}"/>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0A-4281-A342-C2C9E93CD8AF}"/>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0A-4281-A342-C2C9E93CD8AF}"/>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0A-4281-A342-C2C9E93CD8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23</c:v>
                </c:pt>
                <c:pt idx="2">
                  <c:v>20</c:v>
                </c:pt>
                <c:pt idx="3">
                  <c:v>40</c:v>
                </c:pt>
                <c:pt idx="4">
                  <c:v>7</c:v>
                </c:pt>
              </c:numCache>
            </c:numRef>
          </c:val>
          <c:extLst xmlns:c16r2="http://schemas.microsoft.com/office/drawing/2015/06/chart">
            <c:ext xmlns:c16="http://schemas.microsoft.com/office/drawing/2014/chart" uri="{C3380CC4-5D6E-409C-BE32-E72D297353CC}">
              <c16:uniqueId val="{00000008-D80A-4281-A342-C2C9E93CD8AF}"/>
            </c:ext>
          </c:extLst>
        </c:ser>
        <c:dLbls>
          <c:showLegendKey val="0"/>
          <c:showVal val="0"/>
          <c:showCatName val="0"/>
          <c:showSerName val="0"/>
          <c:showPercent val="0"/>
          <c:showBubbleSize val="0"/>
        </c:dLbls>
        <c:gapWidth val="100"/>
        <c:shape val="box"/>
        <c:axId val="427678416"/>
        <c:axId val="427673320"/>
        <c:axId val="0"/>
      </c:bar3DChart>
      <c:catAx>
        <c:axId val="427678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73320"/>
        <c:crosses val="autoZero"/>
        <c:auto val="1"/>
        <c:lblAlgn val="ctr"/>
        <c:lblOffset val="100"/>
        <c:noMultiLvlLbl val="0"/>
      </c:catAx>
      <c:valAx>
        <c:axId val="427673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784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BCA-4C4C-BDD2-83C7C8B2585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BCA-4C4C-BDD2-83C7C8B2585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BCA-4C4C-BDD2-83C7C8B2585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BCA-4C4C-BDD2-83C7C8B2585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BCA-4C4C-BDD2-83C7C8B258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54</c:v>
                </c:pt>
                <c:pt idx="3">
                  <c:v>35</c:v>
                </c:pt>
                <c:pt idx="4">
                  <c:v>11</c:v>
                </c:pt>
              </c:numCache>
            </c:numRef>
          </c:val>
          <c:extLst xmlns:c16r2="http://schemas.microsoft.com/office/drawing/2015/06/chart">
            <c:ext xmlns:c16="http://schemas.microsoft.com/office/drawing/2014/chart" uri="{C3380CC4-5D6E-409C-BE32-E72D297353CC}">
              <c16:uniqueId val="{0000000A-7BCA-4C4C-BDD2-83C7C8B2585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6FC-4C6B-8AC4-076159FD9B8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6FC-4C6B-8AC4-076159FD9B8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6FC-4C6B-8AC4-076159FD9B8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6FC-4C6B-8AC4-076159FD9B8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6FC-4C6B-8AC4-076159FD9B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3</c:v>
                </c:pt>
                <c:pt idx="1">
                  <c:v>4</c:v>
                </c:pt>
                <c:pt idx="2">
                  <c:v>28</c:v>
                </c:pt>
                <c:pt idx="3">
                  <c:v>19</c:v>
                </c:pt>
                <c:pt idx="4">
                  <c:v>46</c:v>
                </c:pt>
              </c:numCache>
            </c:numRef>
          </c:val>
          <c:extLst xmlns:c16r2="http://schemas.microsoft.com/office/drawing/2015/06/chart">
            <c:ext xmlns:c16="http://schemas.microsoft.com/office/drawing/2014/chart" uri="{C3380CC4-5D6E-409C-BE32-E72D297353CC}">
              <c16:uniqueId val="{0000000A-B6FC-4C6B-8AC4-076159FD9B87}"/>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Percentage of respondents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1-286A-4A22-9D24-6ED25CBAF31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3-286A-4A22-9D24-6ED25CBAF31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5-286A-4A22-9D24-6ED25CBAF31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7-286A-4A22-9D24-6ED25CBAF31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9-286A-4A22-9D24-6ED25CBAF3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9</c:v>
                </c:pt>
                <c:pt idx="1">
                  <c:v>7</c:v>
                </c:pt>
                <c:pt idx="2">
                  <c:v>24</c:v>
                </c:pt>
                <c:pt idx="3">
                  <c:v>10</c:v>
                </c:pt>
                <c:pt idx="4">
                  <c:v>50</c:v>
                </c:pt>
              </c:numCache>
            </c:numRef>
          </c:val>
          <c:extLst xmlns:c16r2="http://schemas.microsoft.com/office/drawing/2015/06/chart">
            <c:ext xmlns:c16="http://schemas.microsoft.com/office/drawing/2014/chart" uri="{C3380CC4-5D6E-409C-BE32-E72D297353CC}">
              <c16:uniqueId val="{0000000A-286A-4A22-9D24-6ED25CBAF317}"/>
            </c:ext>
          </c:extLst>
        </c:ser>
        <c:dLbls>
          <c:dLblPos val="outEnd"/>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Percentage of respondents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1-5E97-4DB5-8786-13568266138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3-5E97-4DB5-8786-13568266138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5-5E97-4DB5-8786-13568266138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7-5E97-4DB5-8786-13568266138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9-5E97-4DB5-8786-1356826613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0</c:v>
                </c:pt>
                <c:pt idx="4">
                  <c:v>100</c:v>
                </c:pt>
              </c:numCache>
            </c:numRef>
          </c:val>
          <c:extLst xmlns:c16r2="http://schemas.microsoft.com/office/drawing/2015/06/chart">
            <c:ext xmlns:c16="http://schemas.microsoft.com/office/drawing/2014/chart" uri="{C3380CC4-5D6E-409C-BE32-E72D297353CC}">
              <c16:uniqueId val="{0000000A-5E97-4DB5-8786-135682661383}"/>
            </c:ext>
          </c:extLst>
        </c:ser>
        <c:dLbls>
          <c:dLblPos val="outEnd"/>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7A-4C74-9A71-7C3D5BC16E5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7A-4C74-9A71-7C3D5BC16E5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7A-4C74-9A71-7C3D5BC16E5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7A-4C74-9A71-7C3D5BC16E5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7A-4C74-9A71-7C3D5BC16E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3</c:v>
                </c:pt>
                <c:pt idx="1">
                  <c:v>28</c:v>
                </c:pt>
                <c:pt idx="2">
                  <c:v>10</c:v>
                </c:pt>
                <c:pt idx="3">
                  <c:v>25</c:v>
                </c:pt>
                <c:pt idx="4">
                  <c:v>34</c:v>
                </c:pt>
              </c:numCache>
            </c:numRef>
          </c:val>
          <c:extLst xmlns:c16r2="http://schemas.microsoft.com/office/drawing/2015/06/chart">
            <c:ext xmlns:c16="http://schemas.microsoft.com/office/drawing/2014/chart" uri="{C3380CC4-5D6E-409C-BE32-E72D297353CC}">
              <c16:uniqueId val="{0000000A-137A-4C74-9A71-7C3D5BC16E5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4</c:v>
                </c:pt>
                <c:pt idx="1">
                  <c:v>9</c:v>
                </c:pt>
                <c:pt idx="2">
                  <c:v>16</c:v>
                </c:pt>
                <c:pt idx="3">
                  <c:v>27</c:v>
                </c:pt>
                <c:pt idx="4">
                  <c:v>44</c:v>
                </c:pt>
              </c:numCache>
            </c:numRef>
          </c:val>
          <c:extLst xmlns:c16r2="http://schemas.microsoft.com/office/drawing/2015/06/chart">
            <c:ext xmlns:c16="http://schemas.microsoft.com/office/drawing/2014/chart" uri="{C3380CC4-5D6E-409C-BE32-E72D297353CC}">
              <c16:uniqueId val="{00000000-822C-45AE-BE7B-B5FEEA8F4C1E}"/>
            </c:ext>
          </c:extLst>
        </c:ser>
        <c:dLbls>
          <c:showLegendKey val="0"/>
          <c:showVal val="1"/>
          <c:showCatName val="0"/>
          <c:showSerName val="0"/>
          <c:showPercent val="0"/>
          <c:showBubbleSize val="0"/>
        </c:dLbls>
        <c:gapWidth val="219"/>
        <c:overlap val="-27"/>
        <c:axId val="427679592"/>
        <c:axId val="427676848"/>
      </c:barChart>
      <c:catAx>
        <c:axId val="427679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76848"/>
        <c:crosses val="autoZero"/>
        <c:auto val="1"/>
        <c:lblAlgn val="ctr"/>
        <c:lblOffset val="100"/>
        <c:noMultiLvlLbl val="0"/>
      </c:catAx>
      <c:valAx>
        <c:axId val="42767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6795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C28-49E6-9026-E7153C7D429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C28-49E6-9026-E7153C7D429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C28-49E6-9026-E7153C7D429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C28-49E6-9026-E7153C7D429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C28-49E6-9026-E7153C7D42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2</c:v>
                </c:pt>
                <c:pt idx="2">
                  <c:v>14</c:v>
                </c:pt>
                <c:pt idx="3">
                  <c:v>20</c:v>
                </c:pt>
                <c:pt idx="4">
                  <c:v>64</c:v>
                </c:pt>
              </c:numCache>
            </c:numRef>
          </c:val>
          <c:extLst xmlns:c16r2="http://schemas.microsoft.com/office/drawing/2015/06/chart">
            <c:ext xmlns:c16="http://schemas.microsoft.com/office/drawing/2014/chart" uri="{C3380CC4-5D6E-409C-BE32-E72D297353CC}">
              <c16:uniqueId val="{0000000A-5C28-49E6-9026-E7153C7D429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B42-4C24-9903-3A8206B6807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B42-4C24-9903-3A8206B6807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B42-4C24-9903-3A8206B6807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B42-4C24-9903-3A8206B6807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B42-4C24-9903-3A8206B6807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BB42-4C24-9903-3A8206B6807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BB42-4C24-9903-3A8206B680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4</c:v>
                </c:pt>
                <c:pt idx="1">
                  <c:v>8</c:v>
                </c:pt>
                <c:pt idx="2">
                  <c:v>10</c:v>
                </c:pt>
                <c:pt idx="3">
                  <c:v>18</c:v>
                </c:pt>
                <c:pt idx="4">
                  <c:v>60</c:v>
                </c:pt>
              </c:numCache>
            </c:numRef>
          </c:val>
          <c:extLst xmlns:c16r2="http://schemas.microsoft.com/office/drawing/2015/06/chart">
            <c:ext xmlns:c16="http://schemas.microsoft.com/office/drawing/2014/chart" uri="{C3380CC4-5D6E-409C-BE32-E72D297353CC}">
              <c16:uniqueId val="{0000000E-BB42-4C24-9903-3A8206B6807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DC4-4BB1-96CA-3AF84C69016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DC4-4BB1-96CA-3AF84C69016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DC4-4BB1-96CA-3AF84C69016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DC4-4BB1-96CA-3AF84C690163}"/>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DC4-4BB1-96CA-3AF84C6901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3</c:v>
                </c:pt>
                <c:pt idx="1">
                  <c:v>7</c:v>
                </c:pt>
                <c:pt idx="2">
                  <c:v>28</c:v>
                </c:pt>
                <c:pt idx="3">
                  <c:v>32</c:v>
                </c:pt>
                <c:pt idx="4">
                  <c:v>30</c:v>
                </c:pt>
              </c:numCache>
            </c:numRef>
          </c:val>
          <c:extLst xmlns:c16r2="http://schemas.microsoft.com/office/drawing/2015/06/chart">
            <c:ext xmlns:c16="http://schemas.microsoft.com/office/drawing/2014/chart" uri="{C3380CC4-5D6E-409C-BE32-E72D297353CC}">
              <c16:uniqueId val="{0000000A-6DC4-4BB1-96CA-3AF84C69016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Percentage of respondents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BBE-4686-AB83-31E27267182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BBE-4686-AB83-31E27267182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BBE-4686-AB83-31E27267182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BBE-4686-AB83-31E27267182E}"/>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BBE-4686-AB83-31E27267182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8</c:v>
                </c:pt>
                <c:pt idx="2">
                  <c:v>10</c:v>
                </c:pt>
                <c:pt idx="3">
                  <c:v>24</c:v>
                </c:pt>
                <c:pt idx="4">
                  <c:v>58</c:v>
                </c:pt>
              </c:numCache>
            </c:numRef>
          </c:val>
          <c:extLst xmlns:c16r2="http://schemas.microsoft.com/office/drawing/2015/06/chart">
            <c:ext xmlns:c16="http://schemas.microsoft.com/office/drawing/2014/chart" uri="{C3380CC4-5D6E-409C-BE32-E72D297353CC}">
              <c16:uniqueId val="{0000000A-BBBE-4686-AB83-31E27267182E}"/>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384-409F-B911-2456CFAC17E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384-409F-B911-2456CFAC17E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384-409F-B911-2456CFAC17E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384-409F-B911-2456CFAC17E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384-409F-B911-2456CFAC17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2</c:v>
                </c:pt>
                <c:pt idx="2">
                  <c:v>5</c:v>
                </c:pt>
                <c:pt idx="3">
                  <c:v>20</c:v>
                </c:pt>
                <c:pt idx="4">
                  <c:v>73</c:v>
                </c:pt>
              </c:numCache>
            </c:numRef>
          </c:val>
          <c:extLst xmlns:c16r2="http://schemas.microsoft.com/office/drawing/2015/06/chart">
            <c:ext xmlns:c16="http://schemas.microsoft.com/office/drawing/2014/chart" uri="{C3380CC4-5D6E-409C-BE32-E72D297353CC}">
              <c16:uniqueId val="{0000000A-7384-409F-B911-2456CFAC17E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829-46D8-8567-53696B17572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829-46D8-8567-53696B17572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829-46D8-8567-53696B17572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829-46D8-8567-53696B17572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829-46D8-8567-53696B1757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7</c:v>
                </c:pt>
                <c:pt idx="1">
                  <c:v>13</c:v>
                </c:pt>
                <c:pt idx="2">
                  <c:v>18</c:v>
                </c:pt>
                <c:pt idx="3">
                  <c:v>26</c:v>
                </c:pt>
                <c:pt idx="4">
                  <c:v>36</c:v>
                </c:pt>
              </c:numCache>
            </c:numRef>
          </c:val>
          <c:extLst xmlns:c16r2="http://schemas.microsoft.com/office/drawing/2015/06/chart">
            <c:ext xmlns:c16="http://schemas.microsoft.com/office/drawing/2014/chart" uri="{C3380CC4-5D6E-409C-BE32-E72D297353CC}">
              <c16:uniqueId val="{0000000A-6829-46D8-8567-53696B17572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A8C-40B3-8915-A6C74160265F}"/>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A8C-40B3-8915-A6C74160265F}"/>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A8C-40B3-8915-A6C74160265F}"/>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A8C-40B3-8915-A6C74160265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0</c:v>
                </c:pt>
                <c:pt idx="4">
                  <c:v>100</c:v>
                </c:pt>
              </c:numCache>
            </c:numRef>
          </c:val>
          <c:extLst xmlns:c16r2="http://schemas.microsoft.com/office/drawing/2015/06/chart">
            <c:ext xmlns:c16="http://schemas.microsoft.com/office/drawing/2014/chart" uri="{C3380CC4-5D6E-409C-BE32-E72D297353CC}">
              <c16:uniqueId val="{00000008-3A8C-40B3-8915-A6C74160265F}"/>
            </c:ext>
          </c:extLst>
        </c:ser>
        <c:dLbls>
          <c:showLegendKey val="0"/>
          <c:showVal val="0"/>
          <c:showCatName val="0"/>
          <c:showSerName val="0"/>
          <c:showPercent val="0"/>
          <c:showBubbleSize val="0"/>
        </c:dLbls>
        <c:gapWidth val="100"/>
        <c:shape val="box"/>
        <c:axId val="572231440"/>
        <c:axId val="572232224"/>
        <c:axId val="0"/>
      </c:bar3DChart>
      <c:catAx>
        <c:axId val="572231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32224"/>
        <c:crosses val="autoZero"/>
        <c:auto val="1"/>
        <c:lblAlgn val="ctr"/>
        <c:lblOffset val="100"/>
        <c:noMultiLvlLbl val="0"/>
      </c:catAx>
      <c:valAx>
        <c:axId val="57223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231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46412-1401-4574-B561-17E7276E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10577</Words>
  <Characters>60290</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OFFICE</dc:creator>
  <cp:keywords/>
  <dc:description/>
  <cp:lastModifiedBy>SANGI-PC</cp:lastModifiedBy>
  <cp:revision>2</cp:revision>
  <cp:lastPrinted>2025-04-16T05:23:00Z</cp:lastPrinted>
  <dcterms:created xsi:type="dcterms:W3CDTF">2026-08-10T07:20:00Z</dcterms:created>
  <dcterms:modified xsi:type="dcterms:W3CDTF">2026-08-10T07:20:00Z</dcterms:modified>
</cp:coreProperties>
</file>